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id w:val="143862952"/>
      </w:sdtPr>
      <w:sdtEndPr>
        <w:rPr>
          <w:rFonts w:hAnsi="宋体" w:cs="Arial"/>
          <w:b/>
          <w:sz w:val="32"/>
          <w:szCs w:val="32"/>
        </w:rPr>
      </w:sdtEndPr>
      <w:sdtContent>
        <w:p>
          <w:pPr>
            <w:spacing w:line="300" w:lineRule="auto"/>
            <w:jc w:val="cente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napToGrid w:val="0"/>
            <w:spacing w:line="300" w:lineRule="auto"/>
            <w:jc w:val="center"/>
            <w:outlineLvl w:val="0"/>
            <w:rPr>
              <w:rFonts w:ascii="黑体" w:hAnsi="华文细黑" w:eastAsia="黑体"/>
              <w:sz w:val="44"/>
              <w:szCs w:val="44"/>
            </w:rPr>
          </w:pPr>
          <w:r>
            <w:rPr>
              <w:rFonts w:hint="eastAsia" w:ascii="黑体" w:hAnsi="华文细黑" w:eastAsia="黑体"/>
              <w:sz w:val="44"/>
              <w:szCs w:val="44"/>
            </w:rPr>
            <w:t>数字福建云计算中心(政务云)</w:t>
          </w:r>
        </w:p>
        <w:p>
          <w:pPr>
            <w:snapToGrid w:val="0"/>
            <w:spacing w:line="300" w:lineRule="auto"/>
            <w:jc w:val="center"/>
            <w:outlineLvl w:val="0"/>
            <w:rPr>
              <w:rFonts w:ascii="黑体" w:hAnsi="华文细黑" w:eastAsia="黑体"/>
              <w:sz w:val="44"/>
              <w:szCs w:val="44"/>
            </w:rPr>
          </w:pPr>
          <w:r>
            <w:rPr>
              <w:rFonts w:hint="eastAsia" w:ascii="黑体" w:hAnsi="华文细黑" w:eastAsia="黑体"/>
              <w:sz w:val="44"/>
              <w:szCs w:val="44"/>
            </w:rPr>
            <w:t>基础设施运维服务项目（2024年度）</w:t>
          </w:r>
        </w:p>
        <w:p>
          <w:pPr>
            <w:snapToGrid w:val="0"/>
            <w:spacing w:line="300" w:lineRule="auto"/>
            <w:jc w:val="center"/>
            <w:outlineLvl w:val="0"/>
            <w:rPr>
              <w:rFonts w:ascii="黑体" w:hAnsi="华文细黑" w:eastAsia="黑体"/>
              <w:sz w:val="44"/>
              <w:szCs w:val="44"/>
            </w:rPr>
          </w:pPr>
          <w:r>
            <w:rPr>
              <w:rFonts w:hint="eastAsia" w:ascii="黑体" w:hAnsi="华文细黑" w:eastAsia="黑体"/>
              <w:sz w:val="44"/>
              <w:szCs w:val="44"/>
            </w:rPr>
            <w:t>技术规范书</w:t>
          </w: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p>
          <w:pPr>
            <w:spacing w:line="300" w:lineRule="auto"/>
            <w:jc w:val="center"/>
            <w:rPr>
              <w:rFonts w:ascii="黑体" w:hAnsi="Plotter" w:eastAsia="黑体"/>
              <w:b/>
              <w:sz w:val="32"/>
            </w:rPr>
          </w:pPr>
        </w:p>
        <w:tbl>
          <w:tblPr>
            <w:tblStyle w:val="75"/>
            <w:tblW w:w="0" w:type="auto"/>
            <w:jc w:val="center"/>
            <w:tblLayout w:type="autofit"/>
            <w:tblCellMar>
              <w:top w:w="0" w:type="dxa"/>
              <w:left w:w="108" w:type="dxa"/>
              <w:bottom w:w="0" w:type="dxa"/>
              <w:right w:w="108" w:type="dxa"/>
            </w:tblCellMar>
          </w:tblPr>
          <w:tblGrid>
            <w:gridCol w:w="5325"/>
          </w:tblGrid>
          <w:tr>
            <w:tblPrEx>
              <w:tblCellMar>
                <w:top w:w="0" w:type="dxa"/>
                <w:left w:w="108" w:type="dxa"/>
                <w:bottom w:w="0" w:type="dxa"/>
                <w:right w:w="108" w:type="dxa"/>
              </w:tblCellMar>
            </w:tblPrEx>
            <w:trPr>
              <w:jc w:val="center"/>
            </w:trPr>
            <w:tc>
              <w:tcPr>
                <w:tcW w:w="5325" w:type="dxa"/>
                <w:shd w:val="clear" w:color="auto" w:fill="auto"/>
              </w:tcPr>
              <w:p>
                <w:pPr>
                  <w:pStyle w:val="1136"/>
                  <w:widowControl w:val="0"/>
                  <w:spacing w:before="0" w:beforeAutospacing="0" w:after="0" w:afterAutospacing="0" w:line="600" w:lineRule="exact"/>
                  <w:jc w:val="distribute"/>
                  <w:rPr>
                    <w:rFonts w:ascii="黑体" w:eastAsia="黑体"/>
                    <w:sz w:val="36"/>
                    <w:szCs w:val="36"/>
                  </w:rPr>
                </w:pPr>
                <w:r>
                  <w:rPr>
                    <w:rFonts w:hint="eastAsia" w:ascii="黑体" w:eastAsia="黑体"/>
                    <w:sz w:val="36"/>
                    <w:szCs w:val="36"/>
                  </w:rPr>
                  <w:t>福建省经济信息中心</w:t>
                </w:r>
              </w:p>
            </w:tc>
          </w:tr>
          <w:tr>
            <w:tblPrEx>
              <w:tblCellMar>
                <w:top w:w="0" w:type="dxa"/>
                <w:left w:w="108" w:type="dxa"/>
                <w:bottom w:w="0" w:type="dxa"/>
                <w:right w:w="108" w:type="dxa"/>
              </w:tblCellMar>
            </w:tblPrEx>
            <w:trPr>
              <w:jc w:val="center"/>
            </w:trPr>
            <w:tc>
              <w:tcPr>
                <w:tcW w:w="5325" w:type="dxa"/>
                <w:shd w:val="clear" w:color="auto" w:fill="auto"/>
              </w:tcPr>
              <w:p>
                <w:pPr>
                  <w:pStyle w:val="1136"/>
                  <w:widowControl w:val="0"/>
                  <w:spacing w:before="0" w:beforeAutospacing="0" w:after="0" w:afterAutospacing="0" w:line="600" w:lineRule="exact"/>
                  <w:rPr>
                    <w:rFonts w:ascii="黑体" w:eastAsia="黑体"/>
                    <w:sz w:val="36"/>
                    <w:szCs w:val="36"/>
                  </w:rPr>
                </w:pPr>
                <w:r>
                  <w:rPr>
                    <w:rFonts w:hint="eastAsia" w:ascii="黑体" w:eastAsia="黑体"/>
                    <w:sz w:val="36"/>
                    <w:szCs w:val="36"/>
                  </w:rPr>
                  <w:t>二〇二四年</w:t>
                </w:r>
                <w:r>
                  <w:rPr>
                    <w:rFonts w:hint="eastAsia" w:ascii="黑体" w:eastAsia="黑体"/>
                    <w:sz w:val="36"/>
                    <w:szCs w:val="36"/>
                    <w:lang w:val="en-US" w:eastAsia="zh-CN"/>
                  </w:rPr>
                  <w:t>六</w:t>
                </w:r>
                <w:bookmarkStart w:id="167" w:name="_GoBack"/>
                <w:bookmarkEnd w:id="167"/>
                <w:r>
                  <w:rPr>
                    <w:rFonts w:hint="eastAsia" w:ascii="黑体" w:eastAsia="黑体"/>
                    <w:sz w:val="36"/>
                    <w:szCs w:val="36"/>
                  </w:rPr>
                  <w:t>月</w:t>
                </w:r>
              </w:p>
            </w:tc>
          </w:tr>
        </w:tbl>
        <w:p>
          <w:pPr>
            <w:widowControl/>
            <w:jc w:val="left"/>
            <w:rPr>
              <w:rFonts w:hAnsi="宋体" w:cs="Arial"/>
              <w:b/>
              <w:sz w:val="32"/>
              <w:szCs w:val="32"/>
            </w:rPr>
          </w:pPr>
          <w:r>
            <w:rPr>
              <w:rFonts w:hAnsi="宋体" w:cs="Arial"/>
              <w:b/>
              <w:sz w:val="32"/>
              <w:szCs w:val="32"/>
            </w:rPr>
            <w:br w:type="page"/>
          </w:r>
        </w:p>
      </w:sdtContent>
    </w:sdt>
    <w:p>
      <w:pPr>
        <w:spacing w:before="436" w:beforeLines="100" w:after="436" w:afterLines="100"/>
        <w:jc w:val="center"/>
        <w:rPr>
          <w:rFonts w:cs="Arial"/>
          <w:b/>
          <w:sz w:val="32"/>
          <w:szCs w:val="32"/>
        </w:rPr>
      </w:pPr>
      <w:r>
        <w:rPr>
          <w:rFonts w:hint="eastAsia" w:hAnsi="宋体" w:cs="Arial"/>
          <w:b/>
          <w:sz w:val="32"/>
          <w:szCs w:val="32"/>
        </w:rPr>
        <w:t>目</w:t>
      </w:r>
      <w:r>
        <w:rPr>
          <w:rFonts w:hAnsi="宋体" w:cs="Arial"/>
          <w:b/>
          <w:sz w:val="32"/>
          <w:szCs w:val="32"/>
        </w:rPr>
        <w:t xml:space="preserve">    </w:t>
      </w:r>
      <w:r>
        <w:rPr>
          <w:rFonts w:hint="eastAsia" w:hAnsi="宋体" w:cs="Arial"/>
          <w:b/>
          <w:sz w:val="32"/>
          <w:szCs w:val="32"/>
        </w:rPr>
        <w:t>录</w:t>
      </w:r>
    </w:p>
    <w:p>
      <w:pPr>
        <w:pStyle w:val="50"/>
        <w:tabs>
          <w:tab w:val="right" w:leader="dot" w:pos="9071"/>
          <w:tab w:val="clear" w:pos="9061"/>
        </w:tabs>
      </w:pPr>
      <w:r>
        <w:fldChar w:fldCharType="begin"/>
      </w:r>
      <w:r>
        <w:instrText xml:space="preserve"> TOC \o "2-3" \h \z \t "标题 7,1" </w:instrText>
      </w:r>
      <w:r>
        <w:fldChar w:fldCharType="separate"/>
      </w:r>
      <w:r>
        <w:fldChar w:fldCharType="begin"/>
      </w:r>
      <w:r>
        <w:instrText xml:space="preserve"> HYPERLINK \l "_Toc18965" </w:instrText>
      </w:r>
      <w:r>
        <w:fldChar w:fldCharType="separate"/>
      </w:r>
      <w:r>
        <w:rPr>
          <w:rFonts w:hint="eastAsia"/>
        </w:rPr>
        <w:t>一、 总则</w:t>
      </w:r>
      <w:r>
        <w:tab/>
      </w:r>
      <w:r>
        <w:fldChar w:fldCharType="begin"/>
      </w:r>
      <w:r>
        <w:instrText xml:space="preserve"> PAGEREF _Toc18965 \h </w:instrText>
      </w:r>
      <w:r>
        <w:fldChar w:fldCharType="separate"/>
      </w:r>
      <w:r>
        <w:t>1</w:t>
      </w:r>
      <w:r>
        <w:fldChar w:fldCharType="end"/>
      </w:r>
      <w:r>
        <w:fldChar w:fldCharType="end"/>
      </w:r>
    </w:p>
    <w:p>
      <w:pPr>
        <w:pStyle w:val="64"/>
        <w:tabs>
          <w:tab w:val="right" w:leader="dot" w:pos="9071"/>
        </w:tabs>
      </w:pPr>
      <w:r>
        <w:fldChar w:fldCharType="begin"/>
      </w:r>
      <w:r>
        <w:instrText xml:space="preserve"> HYPERLINK \l "_Toc29540" </w:instrText>
      </w:r>
      <w:r>
        <w:fldChar w:fldCharType="separate"/>
      </w:r>
      <w:r>
        <w:t xml:space="preserve">1.1 </w:t>
      </w:r>
      <w:r>
        <w:rPr>
          <w:rFonts w:hint="eastAsia"/>
        </w:rPr>
        <w:t>概述</w:t>
      </w:r>
      <w:r>
        <w:tab/>
      </w:r>
      <w:r>
        <w:fldChar w:fldCharType="begin"/>
      </w:r>
      <w:r>
        <w:instrText xml:space="preserve"> PAGEREF _Toc29540 \h </w:instrText>
      </w:r>
      <w:r>
        <w:fldChar w:fldCharType="separate"/>
      </w:r>
      <w:r>
        <w:t>1</w:t>
      </w:r>
      <w:r>
        <w:fldChar w:fldCharType="end"/>
      </w:r>
      <w:r>
        <w:fldChar w:fldCharType="end"/>
      </w:r>
    </w:p>
    <w:p>
      <w:pPr>
        <w:pStyle w:val="64"/>
        <w:tabs>
          <w:tab w:val="right" w:leader="dot" w:pos="9071"/>
        </w:tabs>
      </w:pPr>
      <w:r>
        <w:fldChar w:fldCharType="begin"/>
      </w:r>
      <w:r>
        <w:instrText xml:space="preserve"> HYPERLINK \l "_Toc23792" </w:instrText>
      </w:r>
      <w:r>
        <w:fldChar w:fldCharType="separate"/>
      </w:r>
      <w:r>
        <w:t xml:space="preserve">1.2 </w:t>
      </w:r>
      <w:r>
        <w:rPr>
          <w:rFonts w:hint="eastAsia"/>
        </w:rPr>
        <w:t>项目服务内容范围与期限</w:t>
      </w:r>
      <w:r>
        <w:tab/>
      </w:r>
      <w:r>
        <w:fldChar w:fldCharType="begin"/>
      </w:r>
      <w:r>
        <w:instrText xml:space="preserve"> PAGEREF _Toc23792 \h </w:instrText>
      </w:r>
      <w:r>
        <w:fldChar w:fldCharType="separate"/>
      </w:r>
      <w:r>
        <w:t>1</w:t>
      </w:r>
      <w:r>
        <w:fldChar w:fldCharType="end"/>
      </w:r>
      <w:r>
        <w:fldChar w:fldCharType="end"/>
      </w:r>
    </w:p>
    <w:p>
      <w:pPr>
        <w:pStyle w:val="64"/>
        <w:tabs>
          <w:tab w:val="right" w:leader="dot" w:pos="9071"/>
        </w:tabs>
      </w:pPr>
      <w:r>
        <w:fldChar w:fldCharType="begin"/>
      </w:r>
      <w:r>
        <w:instrText xml:space="preserve"> HYPERLINK \l "_Toc9748" </w:instrText>
      </w:r>
      <w:r>
        <w:fldChar w:fldCharType="separate"/>
      </w:r>
      <w:r>
        <w:t xml:space="preserve">1.3 </w:t>
      </w:r>
      <w:r>
        <w:rPr>
          <w:rFonts w:hint="eastAsia"/>
        </w:rPr>
        <w:t>★报价要求</w:t>
      </w:r>
      <w:r>
        <w:tab/>
      </w:r>
      <w:r>
        <w:fldChar w:fldCharType="begin"/>
      </w:r>
      <w:r>
        <w:instrText xml:space="preserve"> PAGEREF _Toc9748 \h </w:instrText>
      </w:r>
      <w:r>
        <w:fldChar w:fldCharType="separate"/>
      </w:r>
      <w:r>
        <w:t>1</w:t>
      </w:r>
      <w:r>
        <w:fldChar w:fldCharType="end"/>
      </w:r>
      <w:r>
        <w:fldChar w:fldCharType="end"/>
      </w:r>
    </w:p>
    <w:p>
      <w:pPr>
        <w:pStyle w:val="64"/>
        <w:tabs>
          <w:tab w:val="right" w:leader="dot" w:pos="9071"/>
        </w:tabs>
      </w:pPr>
      <w:r>
        <w:fldChar w:fldCharType="begin"/>
      </w:r>
      <w:r>
        <w:instrText xml:space="preserve"> HYPERLINK \l "_Toc22207" </w:instrText>
      </w:r>
      <w:r>
        <w:fldChar w:fldCharType="separate"/>
      </w:r>
      <w:r>
        <w:t xml:space="preserve">1.4 </w:t>
      </w:r>
      <w:r>
        <w:rPr>
          <w:rFonts w:hint="eastAsia"/>
        </w:rPr>
        <w:t>付款方式及支付要求</w:t>
      </w:r>
      <w:r>
        <w:tab/>
      </w:r>
      <w:r>
        <w:fldChar w:fldCharType="begin"/>
      </w:r>
      <w:r>
        <w:instrText xml:space="preserve"> PAGEREF _Toc22207 \h </w:instrText>
      </w:r>
      <w:r>
        <w:fldChar w:fldCharType="separate"/>
      </w:r>
      <w:r>
        <w:t>2</w:t>
      </w:r>
      <w:r>
        <w:fldChar w:fldCharType="end"/>
      </w:r>
      <w:r>
        <w:fldChar w:fldCharType="end"/>
      </w:r>
    </w:p>
    <w:p>
      <w:pPr>
        <w:pStyle w:val="39"/>
        <w:tabs>
          <w:tab w:val="right" w:leader="dot" w:pos="9071"/>
        </w:tabs>
      </w:pPr>
      <w:r>
        <w:fldChar w:fldCharType="begin"/>
      </w:r>
      <w:r>
        <w:instrText xml:space="preserve"> HYPERLINK \l "_Toc2092" </w:instrText>
      </w:r>
      <w:r>
        <w:fldChar w:fldCharType="separate"/>
      </w:r>
      <w:r>
        <w:rPr>
          <w:rFonts w:hint="eastAsia"/>
        </w:rPr>
        <w:t>1.4.1 付款方式</w:t>
      </w:r>
      <w:r>
        <w:tab/>
      </w:r>
      <w:r>
        <w:fldChar w:fldCharType="begin"/>
      </w:r>
      <w:r>
        <w:instrText xml:space="preserve"> PAGEREF _Toc2092 \h </w:instrText>
      </w:r>
      <w:r>
        <w:fldChar w:fldCharType="separate"/>
      </w:r>
      <w:r>
        <w:t>2</w:t>
      </w:r>
      <w:r>
        <w:fldChar w:fldCharType="end"/>
      </w:r>
      <w:r>
        <w:fldChar w:fldCharType="end"/>
      </w:r>
    </w:p>
    <w:p>
      <w:pPr>
        <w:pStyle w:val="39"/>
        <w:tabs>
          <w:tab w:val="right" w:leader="dot" w:pos="9071"/>
        </w:tabs>
      </w:pPr>
      <w:r>
        <w:fldChar w:fldCharType="begin"/>
      </w:r>
      <w:r>
        <w:instrText xml:space="preserve"> HYPERLINK \l "_Toc12939" </w:instrText>
      </w:r>
      <w:r>
        <w:fldChar w:fldCharType="separate"/>
      </w:r>
      <w:r>
        <w:rPr>
          <w:rFonts w:hint="eastAsia"/>
        </w:rPr>
        <w:t>1.4.2 支付要求</w:t>
      </w:r>
      <w:r>
        <w:tab/>
      </w:r>
      <w:r>
        <w:fldChar w:fldCharType="begin"/>
      </w:r>
      <w:r>
        <w:instrText xml:space="preserve"> PAGEREF _Toc12939 \h </w:instrText>
      </w:r>
      <w:r>
        <w:fldChar w:fldCharType="separate"/>
      </w:r>
      <w:r>
        <w:t>2</w:t>
      </w:r>
      <w:r>
        <w:fldChar w:fldCharType="end"/>
      </w:r>
      <w:r>
        <w:fldChar w:fldCharType="end"/>
      </w:r>
    </w:p>
    <w:p>
      <w:pPr>
        <w:pStyle w:val="64"/>
        <w:tabs>
          <w:tab w:val="right" w:leader="dot" w:pos="9071"/>
        </w:tabs>
      </w:pPr>
      <w:r>
        <w:fldChar w:fldCharType="begin"/>
      </w:r>
      <w:r>
        <w:instrText xml:space="preserve"> HYPERLINK \l "_Toc7336" </w:instrText>
      </w:r>
      <w:r>
        <w:fldChar w:fldCharType="separate"/>
      </w:r>
      <w:r>
        <w:t xml:space="preserve">1.5 </w:t>
      </w:r>
      <w:r>
        <w:rPr>
          <w:rFonts w:hint="eastAsia"/>
        </w:rPr>
        <w:t>现场地点</w:t>
      </w:r>
      <w:r>
        <w:tab/>
      </w:r>
      <w:r>
        <w:fldChar w:fldCharType="begin"/>
      </w:r>
      <w:r>
        <w:instrText xml:space="preserve"> PAGEREF _Toc7336 \h </w:instrText>
      </w:r>
      <w:r>
        <w:fldChar w:fldCharType="separate"/>
      </w:r>
      <w:r>
        <w:t>3</w:t>
      </w:r>
      <w:r>
        <w:fldChar w:fldCharType="end"/>
      </w:r>
      <w:r>
        <w:fldChar w:fldCharType="end"/>
      </w:r>
    </w:p>
    <w:p>
      <w:pPr>
        <w:pStyle w:val="64"/>
        <w:tabs>
          <w:tab w:val="right" w:leader="dot" w:pos="9071"/>
        </w:tabs>
      </w:pPr>
      <w:r>
        <w:fldChar w:fldCharType="begin"/>
      </w:r>
      <w:r>
        <w:instrText xml:space="preserve"> HYPERLINK \l "_Toc29462" </w:instrText>
      </w:r>
      <w:r>
        <w:fldChar w:fldCharType="separate"/>
      </w:r>
      <w:r>
        <w:t xml:space="preserve">1.6 </w:t>
      </w:r>
      <w:r>
        <w:rPr>
          <w:rFonts w:hint="eastAsia"/>
        </w:rPr>
        <w:t>安全保密要求</w:t>
      </w:r>
      <w:r>
        <w:tab/>
      </w:r>
      <w:r>
        <w:fldChar w:fldCharType="begin"/>
      </w:r>
      <w:r>
        <w:instrText xml:space="preserve"> PAGEREF _Toc29462 \h </w:instrText>
      </w:r>
      <w:r>
        <w:fldChar w:fldCharType="separate"/>
      </w:r>
      <w:r>
        <w:t>3</w:t>
      </w:r>
      <w:r>
        <w:fldChar w:fldCharType="end"/>
      </w:r>
      <w:r>
        <w:fldChar w:fldCharType="end"/>
      </w:r>
    </w:p>
    <w:p>
      <w:pPr>
        <w:pStyle w:val="50"/>
        <w:tabs>
          <w:tab w:val="right" w:leader="dot" w:pos="9071"/>
          <w:tab w:val="clear" w:pos="9061"/>
        </w:tabs>
      </w:pPr>
      <w:r>
        <w:fldChar w:fldCharType="begin"/>
      </w:r>
      <w:r>
        <w:instrText xml:space="preserve"> HYPERLINK \l "_Toc31652" </w:instrText>
      </w:r>
      <w:r>
        <w:fldChar w:fldCharType="separate"/>
      </w:r>
      <w:r>
        <w:rPr>
          <w:rFonts w:hint="eastAsia"/>
        </w:rPr>
        <w:t>二、 项目概述</w:t>
      </w:r>
      <w:r>
        <w:tab/>
      </w:r>
      <w:r>
        <w:fldChar w:fldCharType="begin"/>
      </w:r>
      <w:r>
        <w:instrText xml:space="preserve"> PAGEREF _Toc31652 \h </w:instrText>
      </w:r>
      <w:r>
        <w:fldChar w:fldCharType="separate"/>
      </w:r>
      <w:r>
        <w:t>4</w:t>
      </w:r>
      <w:r>
        <w:fldChar w:fldCharType="end"/>
      </w:r>
      <w:r>
        <w:fldChar w:fldCharType="end"/>
      </w:r>
    </w:p>
    <w:p>
      <w:pPr>
        <w:pStyle w:val="64"/>
        <w:tabs>
          <w:tab w:val="right" w:leader="dot" w:pos="9071"/>
        </w:tabs>
      </w:pPr>
      <w:r>
        <w:fldChar w:fldCharType="begin"/>
      </w:r>
      <w:r>
        <w:instrText xml:space="preserve"> HYPERLINK \l "_Toc25902" </w:instrText>
      </w:r>
      <w:r>
        <w:fldChar w:fldCharType="separate"/>
      </w:r>
      <w:r>
        <w:t xml:space="preserve">2.1 </w:t>
      </w:r>
      <w:r>
        <w:rPr>
          <w:rFonts w:hint="eastAsia"/>
        </w:rPr>
        <w:t>服务目标</w:t>
      </w:r>
      <w:r>
        <w:tab/>
      </w:r>
      <w:r>
        <w:fldChar w:fldCharType="begin"/>
      </w:r>
      <w:r>
        <w:instrText xml:space="preserve"> PAGEREF _Toc25902 \h </w:instrText>
      </w:r>
      <w:r>
        <w:fldChar w:fldCharType="separate"/>
      </w:r>
      <w:r>
        <w:t>4</w:t>
      </w:r>
      <w:r>
        <w:fldChar w:fldCharType="end"/>
      </w:r>
      <w:r>
        <w:fldChar w:fldCharType="end"/>
      </w:r>
    </w:p>
    <w:p>
      <w:pPr>
        <w:pStyle w:val="64"/>
        <w:tabs>
          <w:tab w:val="right" w:leader="dot" w:pos="9071"/>
        </w:tabs>
      </w:pPr>
      <w:r>
        <w:fldChar w:fldCharType="begin"/>
      </w:r>
      <w:r>
        <w:instrText xml:space="preserve"> HYPERLINK \l "_Toc2127" </w:instrText>
      </w:r>
      <w:r>
        <w:fldChar w:fldCharType="separate"/>
      </w:r>
      <w:r>
        <w:t xml:space="preserve">2.2 </w:t>
      </w:r>
      <w:r>
        <w:rPr>
          <w:rFonts w:hint="eastAsia"/>
        </w:rPr>
        <w:t>服务内容</w:t>
      </w:r>
      <w:r>
        <w:tab/>
      </w:r>
      <w:r>
        <w:fldChar w:fldCharType="begin"/>
      </w:r>
      <w:r>
        <w:instrText xml:space="preserve"> PAGEREF _Toc2127 \h </w:instrText>
      </w:r>
      <w:r>
        <w:fldChar w:fldCharType="separate"/>
      </w:r>
      <w:r>
        <w:t>4</w:t>
      </w:r>
      <w:r>
        <w:fldChar w:fldCharType="end"/>
      </w:r>
      <w:r>
        <w:fldChar w:fldCharType="end"/>
      </w:r>
    </w:p>
    <w:p>
      <w:pPr>
        <w:pStyle w:val="64"/>
        <w:tabs>
          <w:tab w:val="right" w:leader="dot" w:pos="9071"/>
        </w:tabs>
      </w:pPr>
      <w:r>
        <w:fldChar w:fldCharType="begin"/>
      </w:r>
      <w:r>
        <w:instrText xml:space="preserve"> HYPERLINK \l "_Toc25955" </w:instrText>
      </w:r>
      <w:r>
        <w:fldChar w:fldCharType="separate"/>
      </w:r>
      <w:r>
        <w:t xml:space="preserve">2.3 </w:t>
      </w:r>
      <w:r>
        <w:rPr>
          <w:rFonts w:hint="eastAsia"/>
        </w:rPr>
        <w:t>数字福建云计算中心（政务云）基础设施现状</w:t>
      </w:r>
      <w:r>
        <w:tab/>
      </w:r>
      <w:r>
        <w:fldChar w:fldCharType="begin"/>
      </w:r>
      <w:r>
        <w:instrText xml:space="preserve"> PAGEREF _Toc25955 \h </w:instrText>
      </w:r>
      <w:r>
        <w:fldChar w:fldCharType="separate"/>
      </w:r>
      <w:r>
        <w:t>6</w:t>
      </w:r>
      <w:r>
        <w:fldChar w:fldCharType="end"/>
      </w:r>
      <w:r>
        <w:fldChar w:fldCharType="end"/>
      </w:r>
    </w:p>
    <w:p>
      <w:pPr>
        <w:pStyle w:val="39"/>
        <w:tabs>
          <w:tab w:val="right" w:leader="dot" w:pos="9071"/>
        </w:tabs>
      </w:pPr>
      <w:r>
        <w:fldChar w:fldCharType="begin"/>
      </w:r>
      <w:r>
        <w:instrText xml:space="preserve"> HYPERLINK \l "_Toc2481" </w:instrText>
      </w:r>
      <w:r>
        <w:fldChar w:fldCharType="separate"/>
      </w:r>
      <w:r>
        <w:rPr>
          <w:rFonts w:hint="eastAsia"/>
        </w:rPr>
        <w:t>2.3.1 云计算中心总体平面规划</w:t>
      </w:r>
      <w:r>
        <w:tab/>
      </w:r>
      <w:r>
        <w:fldChar w:fldCharType="begin"/>
      </w:r>
      <w:r>
        <w:instrText xml:space="preserve"> PAGEREF _Toc2481 \h </w:instrText>
      </w:r>
      <w:r>
        <w:fldChar w:fldCharType="separate"/>
      </w:r>
      <w:r>
        <w:t>6</w:t>
      </w:r>
      <w:r>
        <w:fldChar w:fldCharType="end"/>
      </w:r>
      <w:r>
        <w:fldChar w:fldCharType="end"/>
      </w:r>
    </w:p>
    <w:p>
      <w:pPr>
        <w:pStyle w:val="39"/>
        <w:tabs>
          <w:tab w:val="right" w:leader="dot" w:pos="9071"/>
        </w:tabs>
      </w:pPr>
      <w:r>
        <w:fldChar w:fldCharType="begin"/>
      </w:r>
      <w:r>
        <w:instrText xml:space="preserve"> HYPERLINK \l "_Toc32086" </w:instrText>
      </w:r>
      <w:r>
        <w:fldChar w:fldCharType="separate"/>
      </w:r>
      <w:r>
        <w:rPr>
          <w:rFonts w:hint="eastAsia"/>
        </w:rPr>
        <w:t>2.3.2 数据中心机柜数量及分布</w:t>
      </w:r>
      <w:r>
        <w:tab/>
      </w:r>
      <w:r>
        <w:fldChar w:fldCharType="begin"/>
      </w:r>
      <w:r>
        <w:instrText xml:space="preserve"> PAGEREF _Toc32086 \h </w:instrText>
      </w:r>
      <w:r>
        <w:fldChar w:fldCharType="separate"/>
      </w:r>
      <w:r>
        <w:t>10</w:t>
      </w:r>
      <w:r>
        <w:fldChar w:fldCharType="end"/>
      </w:r>
      <w:r>
        <w:fldChar w:fldCharType="end"/>
      </w:r>
    </w:p>
    <w:p>
      <w:pPr>
        <w:pStyle w:val="39"/>
        <w:tabs>
          <w:tab w:val="right" w:leader="dot" w:pos="9071"/>
        </w:tabs>
      </w:pPr>
      <w:r>
        <w:fldChar w:fldCharType="begin"/>
      </w:r>
      <w:r>
        <w:instrText xml:space="preserve"> HYPERLINK \l "_Toc1833" </w:instrText>
      </w:r>
      <w:r>
        <w:fldChar w:fldCharType="separate"/>
      </w:r>
      <w:r>
        <w:rPr>
          <w:rFonts w:hint="eastAsia"/>
        </w:rPr>
        <w:t>2.3.3 机房通风空调系统</w:t>
      </w:r>
      <w:r>
        <w:tab/>
      </w:r>
      <w:r>
        <w:fldChar w:fldCharType="begin"/>
      </w:r>
      <w:r>
        <w:instrText xml:space="preserve"> PAGEREF _Toc1833 \h </w:instrText>
      </w:r>
      <w:r>
        <w:fldChar w:fldCharType="separate"/>
      </w:r>
      <w:r>
        <w:t>10</w:t>
      </w:r>
      <w:r>
        <w:fldChar w:fldCharType="end"/>
      </w:r>
      <w:r>
        <w:fldChar w:fldCharType="end"/>
      </w:r>
    </w:p>
    <w:p>
      <w:pPr>
        <w:pStyle w:val="39"/>
        <w:tabs>
          <w:tab w:val="right" w:leader="dot" w:pos="9071"/>
        </w:tabs>
      </w:pPr>
      <w:r>
        <w:fldChar w:fldCharType="begin"/>
      </w:r>
      <w:r>
        <w:instrText xml:space="preserve"> HYPERLINK \l "_Toc26647" </w:instrText>
      </w:r>
      <w:r>
        <w:fldChar w:fldCharType="separate"/>
      </w:r>
      <w:r>
        <w:rPr>
          <w:rFonts w:hint="eastAsia"/>
        </w:rPr>
        <w:t>2.3.4 冷冻水系统</w:t>
      </w:r>
      <w:r>
        <w:tab/>
      </w:r>
      <w:r>
        <w:fldChar w:fldCharType="begin"/>
      </w:r>
      <w:r>
        <w:instrText xml:space="preserve"> PAGEREF _Toc26647 \h </w:instrText>
      </w:r>
      <w:r>
        <w:fldChar w:fldCharType="separate"/>
      </w:r>
      <w:r>
        <w:t>12</w:t>
      </w:r>
      <w:r>
        <w:fldChar w:fldCharType="end"/>
      </w:r>
      <w:r>
        <w:fldChar w:fldCharType="end"/>
      </w:r>
    </w:p>
    <w:p>
      <w:pPr>
        <w:pStyle w:val="39"/>
        <w:tabs>
          <w:tab w:val="right" w:leader="dot" w:pos="9071"/>
        </w:tabs>
      </w:pPr>
      <w:r>
        <w:fldChar w:fldCharType="begin"/>
      </w:r>
      <w:r>
        <w:instrText xml:space="preserve"> HYPERLINK \l "_Toc1035" </w:instrText>
      </w:r>
      <w:r>
        <w:fldChar w:fldCharType="separate"/>
      </w:r>
      <w:r>
        <w:rPr>
          <w:rFonts w:hint="eastAsia"/>
        </w:rPr>
        <w:t>2.3.5 机房电气系统</w:t>
      </w:r>
      <w:r>
        <w:tab/>
      </w:r>
      <w:r>
        <w:fldChar w:fldCharType="begin"/>
      </w:r>
      <w:r>
        <w:instrText xml:space="preserve"> PAGEREF _Toc1035 \h </w:instrText>
      </w:r>
      <w:r>
        <w:fldChar w:fldCharType="separate"/>
      </w:r>
      <w:r>
        <w:t>13</w:t>
      </w:r>
      <w:r>
        <w:fldChar w:fldCharType="end"/>
      </w:r>
      <w:r>
        <w:fldChar w:fldCharType="end"/>
      </w:r>
    </w:p>
    <w:p>
      <w:pPr>
        <w:pStyle w:val="39"/>
        <w:tabs>
          <w:tab w:val="right" w:leader="dot" w:pos="9071"/>
        </w:tabs>
      </w:pPr>
      <w:r>
        <w:fldChar w:fldCharType="begin"/>
      </w:r>
      <w:r>
        <w:instrText xml:space="preserve"> HYPERLINK \l "_Toc1570" </w:instrText>
      </w:r>
      <w:r>
        <w:fldChar w:fldCharType="separate"/>
      </w:r>
      <w:r>
        <w:rPr>
          <w:rFonts w:hint="eastAsia"/>
        </w:rPr>
        <w:t>2.3.6 机房UPS系统</w:t>
      </w:r>
      <w:r>
        <w:tab/>
      </w:r>
      <w:r>
        <w:fldChar w:fldCharType="begin"/>
      </w:r>
      <w:r>
        <w:instrText xml:space="preserve"> PAGEREF _Toc1570 \h </w:instrText>
      </w:r>
      <w:r>
        <w:fldChar w:fldCharType="separate"/>
      </w:r>
      <w:r>
        <w:t>15</w:t>
      </w:r>
      <w:r>
        <w:fldChar w:fldCharType="end"/>
      </w:r>
      <w:r>
        <w:fldChar w:fldCharType="end"/>
      </w:r>
    </w:p>
    <w:p>
      <w:pPr>
        <w:pStyle w:val="39"/>
        <w:tabs>
          <w:tab w:val="right" w:leader="dot" w:pos="9071"/>
        </w:tabs>
      </w:pPr>
      <w:r>
        <w:fldChar w:fldCharType="begin"/>
      </w:r>
      <w:r>
        <w:instrText xml:space="preserve"> HYPERLINK \l "_Toc1907" </w:instrText>
      </w:r>
      <w:r>
        <w:fldChar w:fldCharType="separate"/>
      </w:r>
      <w:r>
        <w:rPr>
          <w:rFonts w:hint="eastAsia"/>
        </w:rPr>
        <w:t>2.3.7 机房安防监控系统</w:t>
      </w:r>
      <w:r>
        <w:tab/>
      </w:r>
      <w:r>
        <w:fldChar w:fldCharType="begin"/>
      </w:r>
      <w:r>
        <w:instrText xml:space="preserve"> PAGEREF _Toc1907 \h </w:instrText>
      </w:r>
      <w:r>
        <w:fldChar w:fldCharType="separate"/>
      </w:r>
      <w:r>
        <w:t>16</w:t>
      </w:r>
      <w:r>
        <w:fldChar w:fldCharType="end"/>
      </w:r>
      <w:r>
        <w:fldChar w:fldCharType="end"/>
      </w:r>
    </w:p>
    <w:p>
      <w:pPr>
        <w:pStyle w:val="39"/>
        <w:tabs>
          <w:tab w:val="right" w:leader="dot" w:pos="9071"/>
        </w:tabs>
      </w:pPr>
      <w:r>
        <w:fldChar w:fldCharType="begin"/>
      </w:r>
      <w:r>
        <w:instrText xml:space="preserve"> HYPERLINK \l "_Toc4208" </w:instrText>
      </w:r>
      <w:r>
        <w:fldChar w:fldCharType="separate"/>
      </w:r>
      <w:r>
        <w:rPr>
          <w:rFonts w:hint="eastAsia"/>
        </w:rPr>
        <w:t>2.3.8 机房综合布线系统</w:t>
      </w:r>
      <w:r>
        <w:tab/>
      </w:r>
      <w:r>
        <w:fldChar w:fldCharType="begin"/>
      </w:r>
      <w:r>
        <w:instrText xml:space="preserve"> PAGEREF _Toc4208 \h </w:instrText>
      </w:r>
      <w:r>
        <w:fldChar w:fldCharType="separate"/>
      </w:r>
      <w:r>
        <w:t>20</w:t>
      </w:r>
      <w:r>
        <w:fldChar w:fldCharType="end"/>
      </w:r>
      <w:r>
        <w:fldChar w:fldCharType="end"/>
      </w:r>
    </w:p>
    <w:p>
      <w:pPr>
        <w:pStyle w:val="39"/>
        <w:tabs>
          <w:tab w:val="right" w:leader="dot" w:pos="9071"/>
        </w:tabs>
      </w:pPr>
      <w:r>
        <w:fldChar w:fldCharType="begin"/>
      </w:r>
      <w:r>
        <w:instrText xml:space="preserve"> HYPERLINK \l "_Toc9112" </w:instrText>
      </w:r>
      <w:r>
        <w:fldChar w:fldCharType="separate"/>
      </w:r>
      <w:r>
        <w:rPr>
          <w:rFonts w:hint="eastAsia"/>
        </w:rPr>
        <w:t>2.3.9 机房防雷接地系统</w:t>
      </w:r>
      <w:r>
        <w:tab/>
      </w:r>
      <w:r>
        <w:fldChar w:fldCharType="begin"/>
      </w:r>
      <w:r>
        <w:instrText xml:space="preserve"> PAGEREF _Toc9112 \h </w:instrText>
      </w:r>
      <w:r>
        <w:fldChar w:fldCharType="separate"/>
      </w:r>
      <w:r>
        <w:t>24</w:t>
      </w:r>
      <w:r>
        <w:fldChar w:fldCharType="end"/>
      </w:r>
      <w:r>
        <w:fldChar w:fldCharType="end"/>
      </w:r>
    </w:p>
    <w:p>
      <w:pPr>
        <w:pStyle w:val="39"/>
        <w:tabs>
          <w:tab w:val="right" w:leader="dot" w:pos="9071"/>
        </w:tabs>
      </w:pPr>
      <w:r>
        <w:fldChar w:fldCharType="begin"/>
      </w:r>
      <w:r>
        <w:instrText xml:space="preserve"> HYPERLINK \l "_Toc8438" </w:instrText>
      </w:r>
      <w:r>
        <w:fldChar w:fldCharType="separate"/>
      </w:r>
      <w:r>
        <w:rPr>
          <w:rFonts w:hint="eastAsia"/>
        </w:rPr>
        <w:t>2.3.10 消防系统</w:t>
      </w:r>
      <w:r>
        <w:tab/>
      </w:r>
      <w:r>
        <w:fldChar w:fldCharType="begin"/>
      </w:r>
      <w:r>
        <w:instrText xml:space="preserve"> PAGEREF _Toc8438 \h </w:instrText>
      </w:r>
      <w:r>
        <w:fldChar w:fldCharType="separate"/>
      </w:r>
      <w:r>
        <w:t>25</w:t>
      </w:r>
      <w:r>
        <w:fldChar w:fldCharType="end"/>
      </w:r>
      <w:r>
        <w:fldChar w:fldCharType="end"/>
      </w:r>
    </w:p>
    <w:p>
      <w:pPr>
        <w:pStyle w:val="39"/>
        <w:tabs>
          <w:tab w:val="right" w:leader="dot" w:pos="9071"/>
        </w:tabs>
      </w:pPr>
      <w:r>
        <w:fldChar w:fldCharType="begin"/>
      </w:r>
      <w:r>
        <w:instrText xml:space="preserve"> HYPERLINK \l "_Toc207" </w:instrText>
      </w:r>
      <w:r>
        <w:fldChar w:fldCharType="separate"/>
      </w:r>
      <w:r>
        <w:rPr>
          <w:rFonts w:hint="eastAsia"/>
        </w:rPr>
        <w:t>2.3.11 机房KVM切换系统</w:t>
      </w:r>
      <w:r>
        <w:tab/>
      </w:r>
      <w:r>
        <w:fldChar w:fldCharType="begin"/>
      </w:r>
      <w:r>
        <w:instrText xml:space="preserve"> PAGEREF _Toc207 \h </w:instrText>
      </w:r>
      <w:r>
        <w:fldChar w:fldCharType="separate"/>
      </w:r>
      <w:r>
        <w:t>28</w:t>
      </w:r>
      <w:r>
        <w:fldChar w:fldCharType="end"/>
      </w:r>
      <w:r>
        <w:fldChar w:fldCharType="end"/>
      </w:r>
    </w:p>
    <w:p>
      <w:pPr>
        <w:pStyle w:val="39"/>
        <w:tabs>
          <w:tab w:val="right" w:leader="dot" w:pos="9071"/>
        </w:tabs>
      </w:pPr>
      <w:r>
        <w:fldChar w:fldCharType="begin"/>
      </w:r>
      <w:r>
        <w:instrText xml:space="preserve"> HYPERLINK \l "_Toc9241" </w:instrText>
      </w:r>
      <w:r>
        <w:fldChar w:fldCharType="separate"/>
      </w:r>
      <w:r>
        <w:rPr>
          <w:rFonts w:hint="eastAsia"/>
        </w:rPr>
        <w:t>2.3.12 数据中心基础设施管理系统</w:t>
      </w:r>
      <w:r>
        <w:tab/>
      </w:r>
      <w:r>
        <w:fldChar w:fldCharType="begin"/>
      </w:r>
      <w:r>
        <w:instrText xml:space="preserve"> PAGEREF _Toc9241 \h </w:instrText>
      </w:r>
      <w:r>
        <w:fldChar w:fldCharType="separate"/>
      </w:r>
      <w:r>
        <w:t>28</w:t>
      </w:r>
      <w:r>
        <w:fldChar w:fldCharType="end"/>
      </w:r>
      <w:r>
        <w:fldChar w:fldCharType="end"/>
      </w:r>
    </w:p>
    <w:p>
      <w:pPr>
        <w:pStyle w:val="39"/>
        <w:tabs>
          <w:tab w:val="right" w:leader="dot" w:pos="9071"/>
        </w:tabs>
      </w:pPr>
      <w:r>
        <w:fldChar w:fldCharType="begin"/>
      </w:r>
      <w:r>
        <w:instrText xml:space="preserve"> HYPERLINK \l "_Toc20903" </w:instrText>
      </w:r>
      <w:r>
        <w:fldChar w:fldCharType="separate"/>
      </w:r>
      <w:r>
        <w:rPr>
          <w:rFonts w:hint="eastAsia"/>
        </w:rPr>
        <w:t>2.3.13 机房运维监控中心系统</w:t>
      </w:r>
      <w:r>
        <w:tab/>
      </w:r>
      <w:r>
        <w:fldChar w:fldCharType="begin"/>
      </w:r>
      <w:r>
        <w:instrText xml:space="preserve"> PAGEREF _Toc20903 \h </w:instrText>
      </w:r>
      <w:r>
        <w:fldChar w:fldCharType="separate"/>
      </w:r>
      <w:r>
        <w:t>33</w:t>
      </w:r>
      <w:r>
        <w:fldChar w:fldCharType="end"/>
      </w:r>
      <w:r>
        <w:fldChar w:fldCharType="end"/>
      </w:r>
    </w:p>
    <w:p>
      <w:pPr>
        <w:pStyle w:val="50"/>
        <w:tabs>
          <w:tab w:val="right" w:leader="dot" w:pos="9071"/>
          <w:tab w:val="clear" w:pos="9061"/>
        </w:tabs>
      </w:pPr>
      <w:r>
        <w:fldChar w:fldCharType="begin"/>
      </w:r>
      <w:r>
        <w:instrText xml:space="preserve"> HYPERLINK \l "_Toc183" </w:instrText>
      </w:r>
      <w:r>
        <w:fldChar w:fldCharType="separate"/>
      </w:r>
      <w:r>
        <w:rPr>
          <w:rFonts w:hint="eastAsia"/>
        </w:rPr>
        <w:t>三、 招标品目与服务清单</w:t>
      </w:r>
      <w:r>
        <w:tab/>
      </w:r>
      <w:r>
        <w:fldChar w:fldCharType="begin"/>
      </w:r>
      <w:r>
        <w:instrText xml:space="preserve"> PAGEREF _Toc183 \h </w:instrText>
      </w:r>
      <w:r>
        <w:fldChar w:fldCharType="separate"/>
      </w:r>
      <w:r>
        <w:t>34</w:t>
      </w:r>
      <w:r>
        <w:fldChar w:fldCharType="end"/>
      </w:r>
      <w:r>
        <w:fldChar w:fldCharType="end"/>
      </w:r>
    </w:p>
    <w:p>
      <w:pPr>
        <w:pStyle w:val="64"/>
        <w:tabs>
          <w:tab w:val="right" w:leader="dot" w:pos="9071"/>
        </w:tabs>
      </w:pPr>
      <w:r>
        <w:fldChar w:fldCharType="begin"/>
      </w:r>
      <w:r>
        <w:instrText xml:space="preserve"> HYPERLINK \l "_Toc5173" </w:instrText>
      </w:r>
      <w:r>
        <w:fldChar w:fldCharType="separate"/>
      </w:r>
      <w:r>
        <w:t xml:space="preserve">3.1 </w:t>
      </w:r>
      <w:r>
        <w:rPr>
          <w:rFonts w:hint="eastAsia"/>
        </w:rPr>
        <w:t>基础运维团队服务</w:t>
      </w:r>
      <w:r>
        <w:tab/>
      </w:r>
      <w:r>
        <w:fldChar w:fldCharType="begin"/>
      </w:r>
      <w:r>
        <w:instrText xml:space="preserve"> PAGEREF _Toc5173 \h </w:instrText>
      </w:r>
      <w:r>
        <w:fldChar w:fldCharType="separate"/>
      </w:r>
      <w:r>
        <w:t>34</w:t>
      </w:r>
      <w:r>
        <w:fldChar w:fldCharType="end"/>
      </w:r>
      <w:r>
        <w:fldChar w:fldCharType="end"/>
      </w:r>
    </w:p>
    <w:p>
      <w:pPr>
        <w:pStyle w:val="64"/>
        <w:tabs>
          <w:tab w:val="right" w:leader="dot" w:pos="9071"/>
        </w:tabs>
      </w:pPr>
      <w:r>
        <w:fldChar w:fldCharType="begin"/>
      </w:r>
      <w:r>
        <w:instrText xml:space="preserve"> HYPERLINK \l "_Toc11803" </w:instrText>
      </w:r>
      <w:r>
        <w:fldChar w:fldCharType="separate"/>
      </w:r>
      <w:r>
        <w:t xml:space="preserve">3.2 </w:t>
      </w:r>
      <w:r>
        <w:rPr>
          <w:rFonts w:hint="eastAsia"/>
        </w:rPr>
        <w:t>运维技术服务及相关备件耗材</w:t>
      </w:r>
      <w:r>
        <w:tab/>
      </w:r>
      <w:r>
        <w:fldChar w:fldCharType="begin"/>
      </w:r>
      <w:r>
        <w:instrText xml:space="preserve"> PAGEREF _Toc11803 \h </w:instrText>
      </w:r>
      <w:r>
        <w:fldChar w:fldCharType="separate"/>
      </w:r>
      <w:r>
        <w:t>34</w:t>
      </w:r>
      <w:r>
        <w:fldChar w:fldCharType="end"/>
      </w:r>
      <w:r>
        <w:fldChar w:fldCharType="end"/>
      </w:r>
    </w:p>
    <w:p>
      <w:pPr>
        <w:pStyle w:val="39"/>
        <w:tabs>
          <w:tab w:val="right" w:leader="dot" w:pos="9071"/>
        </w:tabs>
      </w:pPr>
      <w:r>
        <w:fldChar w:fldCharType="begin"/>
      </w:r>
      <w:r>
        <w:instrText xml:space="preserve"> HYPERLINK \l "_Toc4723" </w:instrText>
      </w:r>
      <w:r>
        <w:fldChar w:fldCharType="separate"/>
      </w:r>
      <w:r>
        <w:rPr>
          <w:rFonts w:hint="eastAsia"/>
        </w:rPr>
        <w:t>3.2.1 维修修护服务品目</w:t>
      </w:r>
      <w:r>
        <w:tab/>
      </w:r>
      <w:r>
        <w:fldChar w:fldCharType="begin"/>
      </w:r>
      <w:r>
        <w:instrText xml:space="preserve"> PAGEREF _Toc4723 \h </w:instrText>
      </w:r>
      <w:r>
        <w:fldChar w:fldCharType="separate"/>
      </w:r>
      <w:r>
        <w:t>34</w:t>
      </w:r>
      <w:r>
        <w:fldChar w:fldCharType="end"/>
      </w:r>
      <w:r>
        <w:fldChar w:fldCharType="end"/>
      </w:r>
    </w:p>
    <w:p>
      <w:pPr>
        <w:pStyle w:val="39"/>
        <w:tabs>
          <w:tab w:val="right" w:leader="dot" w:pos="9071"/>
        </w:tabs>
      </w:pPr>
      <w:r>
        <w:fldChar w:fldCharType="begin"/>
      </w:r>
      <w:r>
        <w:instrText xml:space="preserve"> HYPERLINK \l "_Toc445" </w:instrText>
      </w:r>
      <w:r>
        <w:fldChar w:fldCharType="separate"/>
      </w:r>
      <w:r>
        <w:rPr>
          <w:rFonts w:hint="eastAsia"/>
        </w:rPr>
        <w:t>3.2.2 检测及测评服务品目</w:t>
      </w:r>
      <w:r>
        <w:tab/>
      </w:r>
      <w:r>
        <w:fldChar w:fldCharType="begin"/>
      </w:r>
      <w:r>
        <w:instrText xml:space="preserve"> PAGEREF _Toc445 \h </w:instrText>
      </w:r>
      <w:r>
        <w:fldChar w:fldCharType="separate"/>
      </w:r>
      <w:r>
        <w:t>35</w:t>
      </w:r>
      <w:r>
        <w:fldChar w:fldCharType="end"/>
      </w:r>
      <w:r>
        <w:fldChar w:fldCharType="end"/>
      </w:r>
    </w:p>
    <w:p>
      <w:pPr>
        <w:pStyle w:val="39"/>
        <w:tabs>
          <w:tab w:val="right" w:leader="dot" w:pos="9071"/>
        </w:tabs>
      </w:pPr>
      <w:r>
        <w:fldChar w:fldCharType="begin"/>
      </w:r>
      <w:r>
        <w:instrText xml:space="preserve"> HYPERLINK \l "_Toc1945" </w:instrText>
      </w:r>
      <w:r>
        <w:fldChar w:fldCharType="separate"/>
      </w:r>
      <w:r>
        <w:rPr>
          <w:rFonts w:hint="eastAsia"/>
        </w:rPr>
        <w:t>3.2.3 改造提升服务品目</w:t>
      </w:r>
      <w:r>
        <w:tab/>
      </w:r>
      <w:r>
        <w:fldChar w:fldCharType="begin"/>
      </w:r>
      <w:r>
        <w:instrText xml:space="preserve"> PAGEREF _Toc1945 \h </w:instrText>
      </w:r>
      <w:r>
        <w:fldChar w:fldCharType="separate"/>
      </w:r>
      <w:r>
        <w:t>36</w:t>
      </w:r>
      <w:r>
        <w:fldChar w:fldCharType="end"/>
      </w:r>
      <w:r>
        <w:fldChar w:fldCharType="end"/>
      </w:r>
    </w:p>
    <w:p>
      <w:pPr>
        <w:pStyle w:val="39"/>
        <w:tabs>
          <w:tab w:val="right" w:leader="dot" w:pos="9071"/>
        </w:tabs>
      </w:pPr>
      <w:r>
        <w:fldChar w:fldCharType="begin"/>
      </w:r>
      <w:r>
        <w:instrText xml:space="preserve"> HYPERLINK \l "_Toc16588" </w:instrText>
      </w:r>
      <w:r>
        <w:fldChar w:fldCharType="separate"/>
      </w:r>
      <w:r>
        <w:rPr>
          <w:rFonts w:hint="eastAsia"/>
        </w:rPr>
        <w:t>3.2.4 备品备件服务品目</w:t>
      </w:r>
      <w:r>
        <w:tab/>
      </w:r>
      <w:r>
        <w:fldChar w:fldCharType="begin"/>
      </w:r>
      <w:r>
        <w:instrText xml:space="preserve"> PAGEREF _Toc16588 \h </w:instrText>
      </w:r>
      <w:r>
        <w:fldChar w:fldCharType="separate"/>
      </w:r>
      <w:r>
        <w:t>37</w:t>
      </w:r>
      <w:r>
        <w:fldChar w:fldCharType="end"/>
      </w:r>
      <w:r>
        <w:fldChar w:fldCharType="end"/>
      </w:r>
    </w:p>
    <w:p>
      <w:pPr>
        <w:pStyle w:val="50"/>
        <w:tabs>
          <w:tab w:val="right" w:leader="dot" w:pos="9071"/>
          <w:tab w:val="clear" w:pos="9061"/>
        </w:tabs>
      </w:pPr>
      <w:r>
        <w:fldChar w:fldCharType="begin"/>
      </w:r>
      <w:r>
        <w:instrText xml:space="preserve"> HYPERLINK \l "_Toc18455" </w:instrText>
      </w:r>
      <w:r>
        <w:fldChar w:fldCharType="separate"/>
      </w:r>
      <w:r>
        <w:rPr>
          <w:rFonts w:hint="eastAsia"/>
        </w:rPr>
        <w:t>四、 招标内容及要求</w:t>
      </w:r>
      <w:r>
        <w:tab/>
      </w:r>
      <w:r>
        <w:fldChar w:fldCharType="begin"/>
      </w:r>
      <w:r>
        <w:instrText xml:space="preserve"> PAGEREF _Toc18455 \h </w:instrText>
      </w:r>
      <w:r>
        <w:fldChar w:fldCharType="separate"/>
      </w:r>
      <w:r>
        <w:t>38</w:t>
      </w:r>
      <w:r>
        <w:fldChar w:fldCharType="end"/>
      </w:r>
      <w:r>
        <w:fldChar w:fldCharType="end"/>
      </w:r>
    </w:p>
    <w:p>
      <w:pPr>
        <w:pStyle w:val="64"/>
        <w:tabs>
          <w:tab w:val="right" w:leader="dot" w:pos="9071"/>
        </w:tabs>
      </w:pPr>
      <w:r>
        <w:fldChar w:fldCharType="begin"/>
      </w:r>
      <w:r>
        <w:instrText xml:space="preserve"> HYPERLINK \l "_Toc21816" </w:instrText>
      </w:r>
      <w:r>
        <w:fldChar w:fldCharType="separate"/>
      </w:r>
      <w:r>
        <w:t xml:space="preserve">4.1 </w:t>
      </w:r>
      <w:r>
        <w:rPr>
          <w:rFonts w:hint="eastAsia" w:ascii="宋体" w:hAnsi="宋体" w:cs="宋体"/>
          <w:szCs w:val="21"/>
        </w:rPr>
        <w:t>★</w:t>
      </w:r>
      <w:r>
        <w:rPr>
          <w:rFonts w:hint="eastAsia"/>
        </w:rPr>
        <w:t>运维服务范围（项号1）</w:t>
      </w:r>
      <w:r>
        <w:tab/>
      </w:r>
      <w:r>
        <w:fldChar w:fldCharType="begin"/>
      </w:r>
      <w:r>
        <w:instrText xml:space="preserve"> PAGEREF _Toc21816 \h </w:instrText>
      </w:r>
      <w:r>
        <w:fldChar w:fldCharType="separate"/>
      </w:r>
      <w:r>
        <w:t>38</w:t>
      </w:r>
      <w:r>
        <w:fldChar w:fldCharType="end"/>
      </w:r>
      <w:r>
        <w:fldChar w:fldCharType="end"/>
      </w:r>
    </w:p>
    <w:p>
      <w:pPr>
        <w:pStyle w:val="64"/>
        <w:tabs>
          <w:tab w:val="right" w:leader="dot" w:pos="9071"/>
        </w:tabs>
      </w:pPr>
      <w:r>
        <w:fldChar w:fldCharType="begin"/>
      </w:r>
      <w:r>
        <w:instrText xml:space="preserve"> HYPERLINK \l "_Toc23082" </w:instrText>
      </w:r>
      <w:r>
        <w:fldChar w:fldCharType="separate"/>
      </w:r>
      <w:r>
        <w:t xml:space="preserve">4.2 </w:t>
      </w:r>
      <w:r>
        <w:rPr>
          <w:rFonts w:hint="eastAsia"/>
        </w:rPr>
        <w:t>基础运维团队服务要求</w:t>
      </w:r>
      <w:r>
        <w:tab/>
      </w:r>
      <w:r>
        <w:fldChar w:fldCharType="begin"/>
      </w:r>
      <w:r>
        <w:instrText xml:space="preserve"> PAGEREF _Toc23082 \h </w:instrText>
      </w:r>
      <w:r>
        <w:fldChar w:fldCharType="separate"/>
      </w:r>
      <w:r>
        <w:t>39</w:t>
      </w:r>
      <w:r>
        <w:fldChar w:fldCharType="end"/>
      </w:r>
      <w:r>
        <w:fldChar w:fldCharType="end"/>
      </w:r>
    </w:p>
    <w:p>
      <w:pPr>
        <w:pStyle w:val="39"/>
        <w:tabs>
          <w:tab w:val="right" w:leader="dot" w:pos="9071"/>
        </w:tabs>
      </w:pPr>
      <w:r>
        <w:fldChar w:fldCharType="begin"/>
      </w:r>
      <w:r>
        <w:instrText xml:space="preserve"> HYPERLINK \l "_Toc9091" </w:instrText>
      </w:r>
      <w:r>
        <w:fldChar w:fldCharType="separate"/>
      </w:r>
      <w:r>
        <w:rPr>
          <w:rFonts w:hint="eastAsia"/>
        </w:rPr>
        <w:t xml:space="preserve">4.2.1 </w:t>
      </w:r>
      <w:r>
        <w:rPr>
          <w:rFonts w:hint="eastAsia" w:ascii="宋体" w:hAnsi="宋体" w:cs="宋体"/>
          <w:szCs w:val="21"/>
        </w:rPr>
        <w:t>★</w:t>
      </w:r>
      <w:r>
        <w:rPr>
          <w:rFonts w:hint="eastAsia"/>
        </w:rPr>
        <w:t>服务总体要求（项号2）</w:t>
      </w:r>
      <w:r>
        <w:tab/>
      </w:r>
      <w:r>
        <w:fldChar w:fldCharType="begin"/>
      </w:r>
      <w:r>
        <w:instrText xml:space="preserve"> PAGEREF _Toc9091 \h </w:instrText>
      </w:r>
      <w:r>
        <w:fldChar w:fldCharType="separate"/>
      </w:r>
      <w:r>
        <w:t>39</w:t>
      </w:r>
      <w:r>
        <w:fldChar w:fldCharType="end"/>
      </w:r>
      <w:r>
        <w:fldChar w:fldCharType="end"/>
      </w:r>
    </w:p>
    <w:p>
      <w:pPr>
        <w:pStyle w:val="39"/>
        <w:tabs>
          <w:tab w:val="right" w:leader="dot" w:pos="9071"/>
        </w:tabs>
      </w:pPr>
      <w:r>
        <w:fldChar w:fldCharType="begin"/>
      </w:r>
      <w:r>
        <w:instrText xml:space="preserve"> HYPERLINK \l "_Toc26458" </w:instrText>
      </w:r>
      <w:r>
        <w:fldChar w:fldCharType="separate"/>
      </w:r>
      <w:r>
        <w:rPr>
          <w:rFonts w:hint="eastAsia"/>
        </w:rPr>
        <w:t>4.2.2 服务人员要求（项号</w:t>
      </w:r>
      <w:r>
        <w:t>3</w:t>
      </w:r>
      <w:r>
        <w:rPr>
          <w:rFonts w:hint="eastAsia"/>
        </w:rPr>
        <w:t>）</w:t>
      </w:r>
      <w:r>
        <w:tab/>
      </w:r>
      <w:r>
        <w:fldChar w:fldCharType="begin"/>
      </w:r>
      <w:r>
        <w:instrText xml:space="preserve"> PAGEREF _Toc26458 \h </w:instrText>
      </w:r>
      <w:r>
        <w:fldChar w:fldCharType="separate"/>
      </w:r>
      <w:r>
        <w:t>43</w:t>
      </w:r>
      <w:r>
        <w:fldChar w:fldCharType="end"/>
      </w:r>
      <w:r>
        <w:fldChar w:fldCharType="end"/>
      </w:r>
    </w:p>
    <w:p>
      <w:pPr>
        <w:pStyle w:val="39"/>
        <w:tabs>
          <w:tab w:val="right" w:leader="dot" w:pos="9071"/>
        </w:tabs>
      </w:pPr>
      <w:r>
        <w:fldChar w:fldCharType="begin"/>
      </w:r>
      <w:r>
        <w:instrText xml:space="preserve"> HYPERLINK \l "_Toc734" </w:instrText>
      </w:r>
      <w:r>
        <w:fldChar w:fldCharType="separate"/>
      </w:r>
      <w:r>
        <w:rPr>
          <w:rFonts w:hint="eastAsia"/>
        </w:rPr>
        <w:t>4.2.3 日常监控巡检服务要求（项号4）</w:t>
      </w:r>
      <w:r>
        <w:tab/>
      </w:r>
      <w:r>
        <w:fldChar w:fldCharType="begin"/>
      </w:r>
      <w:r>
        <w:instrText xml:space="preserve"> PAGEREF _Toc734 \h </w:instrText>
      </w:r>
      <w:r>
        <w:fldChar w:fldCharType="separate"/>
      </w:r>
      <w:r>
        <w:t>63</w:t>
      </w:r>
      <w:r>
        <w:fldChar w:fldCharType="end"/>
      </w:r>
      <w:r>
        <w:fldChar w:fldCharType="end"/>
      </w:r>
    </w:p>
    <w:p>
      <w:pPr>
        <w:pStyle w:val="39"/>
        <w:tabs>
          <w:tab w:val="right" w:leader="dot" w:pos="9071"/>
        </w:tabs>
      </w:pPr>
      <w:r>
        <w:fldChar w:fldCharType="begin"/>
      </w:r>
      <w:r>
        <w:instrText xml:space="preserve"> HYPERLINK \l "_Toc26404" </w:instrText>
      </w:r>
      <w:r>
        <w:fldChar w:fldCharType="separate"/>
      </w:r>
      <w:r>
        <w:rPr>
          <w:rFonts w:hint="eastAsia"/>
        </w:rPr>
        <w:t>4.2.4 技术支撑保障服务要求（项号5）</w:t>
      </w:r>
      <w:r>
        <w:tab/>
      </w:r>
      <w:r>
        <w:fldChar w:fldCharType="begin"/>
      </w:r>
      <w:r>
        <w:instrText xml:space="preserve"> PAGEREF _Toc26404 \h </w:instrText>
      </w:r>
      <w:r>
        <w:fldChar w:fldCharType="separate"/>
      </w:r>
      <w:r>
        <w:t>75</w:t>
      </w:r>
      <w:r>
        <w:fldChar w:fldCharType="end"/>
      </w:r>
      <w:r>
        <w:fldChar w:fldCharType="end"/>
      </w:r>
    </w:p>
    <w:p>
      <w:pPr>
        <w:pStyle w:val="39"/>
        <w:tabs>
          <w:tab w:val="right" w:leader="dot" w:pos="9071"/>
        </w:tabs>
      </w:pPr>
      <w:r>
        <w:fldChar w:fldCharType="begin"/>
      </w:r>
      <w:r>
        <w:instrText xml:space="preserve"> HYPERLINK \l "_Toc4624" </w:instrText>
      </w:r>
      <w:r>
        <w:fldChar w:fldCharType="separate"/>
      </w:r>
      <w:r>
        <w:rPr>
          <w:rFonts w:hint="eastAsia"/>
        </w:rPr>
        <w:t>4.2.5 运维管理服务要求</w:t>
      </w:r>
      <w:r>
        <w:tab/>
      </w:r>
      <w:r>
        <w:fldChar w:fldCharType="begin"/>
      </w:r>
      <w:r>
        <w:instrText xml:space="preserve"> PAGEREF _Toc4624 \h </w:instrText>
      </w:r>
      <w:r>
        <w:fldChar w:fldCharType="separate"/>
      </w:r>
      <w:r>
        <w:t>93</w:t>
      </w:r>
      <w:r>
        <w:fldChar w:fldCharType="end"/>
      </w:r>
      <w:r>
        <w:fldChar w:fldCharType="end"/>
      </w:r>
    </w:p>
    <w:p>
      <w:pPr>
        <w:pStyle w:val="64"/>
        <w:tabs>
          <w:tab w:val="right" w:leader="dot" w:pos="9071"/>
        </w:tabs>
      </w:pPr>
      <w:r>
        <w:fldChar w:fldCharType="begin"/>
      </w:r>
      <w:r>
        <w:instrText xml:space="preserve"> HYPERLINK \l "_Toc21894" </w:instrText>
      </w:r>
      <w:r>
        <w:fldChar w:fldCharType="separate"/>
      </w:r>
      <w:r>
        <w:t xml:space="preserve">4.3 </w:t>
      </w:r>
      <w:r>
        <w:rPr>
          <w:rFonts w:hint="eastAsia"/>
        </w:rPr>
        <w:t>运维技术服务及相关备件耗材要求</w:t>
      </w:r>
      <w:r>
        <w:tab/>
      </w:r>
      <w:r>
        <w:fldChar w:fldCharType="begin"/>
      </w:r>
      <w:r>
        <w:instrText xml:space="preserve"> PAGEREF _Toc21894 \h </w:instrText>
      </w:r>
      <w:r>
        <w:fldChar w:fldCharType="separate"/>
      </w:r>
      <w:r>
        <w:t>96</w:t>
      </w:r>
      <w:r>
        <w:fldChar w:fldCharType="end"/>
      </w:r>
      <w:r>
        <w:fldChar w:fldCharType="end"/>
      </w:r>
    </w:p>
    <w:p>
      <w:pPr>
        <w:pStyle w:val="39"/>
        <w:tabs>
          <w:tab w:val="right" w:leader="dot" w:pos="9071"/>
        </w:tabs>
      </w:pPr>
      <w:r>
        <w:fldChar w:fldCharType="begin"/>
      </w:r>
      <w:r>
        <w:instrText xml:space="preserve"> HYPERLINK \l "_Toc7202" </w:instrText>
      </w:r>
      <w:r>
        <w:fldChar w:fldCharType="separate"/>
      </w:r>
      <w:r>
        <w:rPr>
          <w:rFonts w:hint="eastAsia"/>
        </w:rPr>
        <w:t>4.3.1 维修维护服务要求</w:t>
      </w:r>
      <w:r>
        <w:tab/>
      </w:r>
      <w:r>
        <w:fldChar w:fldCharType="begin"/>
      </w:r>
      <w:r>
        <w:instrText xml:space="preserve"> PAGEREF _Toc7202 \h </w:instrText>
      </w:r>
      <w:r>
        <w:fldChar w:fldCharType="separate"/>
      </w:r>
      <w:r>
        <w:t>96</w:t>
      </w:r>
      <w:r>
        <w:fldChar w:fldCharType="end"/>
      </w:r>
      <w:r>
        <w:fldChar w:fldCharType="end"/>
      </w:r>
    </w:p>
    <w:p>
      <w:pPr>
        <w:pStyle w:val="39"/>
        <w:tabs>
          <w:tab w:val="right" w:leader="dot" w:pos="9071"/>
        </w:tabs>
      </w:pPr>
      <w:r>
        <w:fldChar w:fldCharType="begin"/>
      </w:r>
      <w:r>
        <w:instrText xml:space="preserve"> HYPERLINK \l "_Toc15432" </w:instrText>
      </w:r>
      <w:r>
        <w:fldChar w:fldCharType="separate"/>
      </w:r>
      <w:r>
        <w:rPr>
          <w:rFonts w:hint="eastAsia"/>
        </w:rPr>
        <w:t>4.3.2 检测及测评服务要求</w:t>
      </w:r>
      <w:r>
        <w:tab/>
      </w:r>
      <w:r>
        <w:fldChar w:fldCharType="begin"/>
      </w:r>
      <w:r>
        <w:instrText xml:space="preserve"> PAGEREF _Toc15432 \h </w:instrText>
      </w:r>
      <w:r>
        <w:fldChar w:fldCharType="separate"/>
      </w:r>
      <w:r>
        <w:t>108</w:t>
      </w:r>
      <w:r>
        <w:fldChar w:fldCharType="end"/>
      </w:r>
      <w:r>
        <w:fldChar w:fldCharType="end"/>
      </w:r>
    </w:p>
    <w:p>
      <w:pPr>
        <w:pStyle w:val="39"/>
        <w:tabs>
          <w:tab w:val="right" w:leader="dot" w:pos="9071"/>
        </w:tabs>
      </w:pPr>
      <w:r>
        <w:fldChar w:fldCharType="begin"/>
      </w:r>
      <w:r>
        <w:instrText xml:space="preserve"> HYPERLINK \l "_Toc19227" </w:instrText>
      </w:r>
      <w:r>
        <w:fldChar w:fldCharType="separate"/>
      </w:r>
      <w:r>
        <w:rPr>
          <w:rFonts w:hint="eastAsia"/>
        </w:rPr>
        <w:t>4.3.3 改造提升服务要求（项号16）</w:t>
      </w:r>
      <w:r>
        <w:tab/>
      </w:r>
      <w:r>
        <w:fldChar w:fldCharType="begin"/>
      </w:r>
      <w:r>
        <w:instrText xml:space="preserve"> PAGEREF _Toc19227 \h </w:instrText>
      </w:r>
      <w:r>
        <w:fldChar w:fldCharType="separate"/>
      </w:r>
      <w:r>
        <w:t>118</w:t>
      </w:r>
      <w:r>
        <w:fldChar w:fldCharType="end"/>
      </w:r>
      <w:r>
        <w:fldChar w:fldCharType="end"/>
      </w:r>
    </w:p>
    <w:p>
      <w:pPr>
        <w:pStyle w:val="39"/>
        <w:tabs>
          <w:tab w:val="right" w:leader="dot" w:pos="9071"/>
        </w:tabs>
      </w:pPr>
      <w:r>
        <w:fldChar w:fldCharType="begin"/>
      </w:r>
      <w:r>
        <w:instrText xml:space="preserve"> HYPERLINK \l "_Toc12099" </w:instrText>
      </w:r>
      <w:r>
        <w:fldChar w:fldCharType="separate"/>
      </w:r>
      <w:r>
        <w:rPr>
          <w:rFonts w:hint="eastAsia"/>
        </w:rPr>
        <w:t>4.3.4 备品备件服务要求（项号17）</w:t>
      </w:r>
      <w:r>
        <w:tab/>
      </w:r>
      <w:r>
        <w:fldChar w:fldCharType="begin"/>
      </w:r>
      <w:r>
        <w:instrText xml:space="preserve"> PAGEREF _Toc12099 \h </w:instrText>
      </w:r>
      <w:r>
        <w:fldChar w:fldCharType="separate"/>
      </w:r>
      <w:r>
        <w:t>119</w:t>
      </w:r>
      <w:r>
        <w:fldChar w:fldCharType="end"/>
      </w:r>
      <w:r>
        <w:fldChar w:fldCharType="end"/>
      </w:r>
    </w:p>
    <w:p>
      <w:pPr>
        <w:pStyle w:val="39"/>
        <w:tabs>
          <w:tab w:val="right" w:leader="dot" w:pos="9071"/>
        </w:tabs>
      </w:pPr>
      <w:r>
        <w:fldChar w:fldCharType="begin"/>
      </w:r>
      <w:r>
        <w:instrText xml:space="preserve"> HYPERLINK \l "_Toc30102" </w:instrText>
      </w:r>
      <w:r>
        <w:fldChar w:fldCharType="separate"/>
      </w:r>
      <w:r>
        <w:rPr>
          <w:rFonts w:hint="eastAsia"/>
        </w:rPr>
        <w:t>4.3.5 运维资源要求（项号18）</w:t>
      </w:r>
      <w:r>
        <w:tab/>
      </w:r>
      <w:r>
        <w:fldChar w:fldCharType="begin"/>
      </w:r>
      <w:r>
        <w:instrText xml:space="preserve"> PAGEREF _Toc30102 \h </w:instrText>
      </w:r>
      <w:r>
        <w:fldChar w:fldCharType="separate"/>
      </w:r>
      <w:r>
        <w:t>121</w:t>
      </w:r>
      <w:r>
        <w:fldChar w:fldCharType="end"/>
      </w:r>
      <w:r>
        <w:fldChar w:fldCharType="end"/>
      </w:r>
    </w:p>
    <w:p>
      <w:pPr>
        <w:pStyle w:val="50"/>
        <w:tabs>
          <w:tab w:val="right" w:leader="dot" w:pos="9071"/>
          <w:tab w:val="clear" w:pos="9061"/>
        </w:tabs>
      </w:pPr>
      <w:r>
        <w:fldChar w:fldCharType="begin"/>
      </w:r>
      <w:r>
        <w:instrText xml:space="preserve"> HYPERLINK \l "_Toc1525" </w:instrText>
      </w:r>
      <w:r>
        <w:fldChar w:fldCharType="separate"/>
      </w:r>
      <w:r>
        <w:rPr>
          <w:rFonts w:hint="eastAsia"/>
        </w:rPr>
        <w:t>五、 工具耗材交付、运维服务考核、服务实施计划</w:t>
      </w:r>
      <w:r>
        <w:tab/>
      </w:r>
      <w:r>
        <w:fldChar w:fldCharType="begin"/>
      </w:r>
      <w:r>
        <w:instrText xml:space="preserve"> PAGEREF _Toc1525 \h </w:instrText>
      </w:r>
      <w:r>
        <w:fldChar w:fldCharType="separate"/>
      </w:r>
      <w:r>
        <w:t>123</w:t>
      </w:r>
      <w:r>
        <w:fldChar w:fldCharType="end"/>
      </w:r>
      <w:r>
        <w:fldChar w:fldCharType="end"/>
      </w:r>
    </w:p>
    <w:p>
      <w:pPr>
        <w:pStyle w:val="64"/>
        <w:tabs>
          <w:tab w:val="right" w:leader="dot" w:pos="9071"/>
        </w:tabs>
      </w:pPr>
      <w:r>
        <w:fldChar w:fldCharType="begin"/>
      </w:r>
      <w:r>
        <w:instrText xml:space="preserve"> HYPERLINK \l "_Toc4458" </w:instrText>
      </w:r>
      <w:r>
        <w:fldChar w:fldCharType="separate"/>
      </w:r>
      <w:r>
        <w:t xml:space="preserve">5.1 </w:t>
      </w:r>
      <w:r>
        <w:rPr>
          <w:rFonts w:hint="eastAsia"/>
        </w:rPr>
        <w:t>工具耗材、文件交付要求</w:t>
      </w:r>
      <w:r>
        <w:tab/>
      </w:r>
      <w:r>
        <w:fldChar w:fldCharType="begin"/>
      </w:r>
      <w:r>
        <w:instrText xml:space="preserve"> PAGEREF _Toc4458 \h </w:instrText>
      </w:r>
      <w:r>
        <w:fldChar w:fldCharType="separate"/>
      </w:r>
      <w:r>
        <w:t>123</w:t>
      </w:r>
      <w:r>
        <w:fldChar w:fldCharType="end"/>
      </w:r>
      <w:r>
        <w:fldChar w:fldCharType="end"/>
      </w:r>
    </w:p>
    <w:p>
      <w:pPr>
        <w:pStyle w:val="39"/>
        <w:tabs>
          <w:tab w:val="right" w:leader="dot" w:pos="9071"/>
        </w:tabs>
      </w:pPr>
      <w:r>
        <w:fldChar w:fldCharType="begin"/>
      </w:r>
      <w:r>
        <w:instrText xml:space="preserve"> HYPERLINK \l "_Toc12352" </w:instrText>
      </w:r>
      <w:r>
        <w:fldChar w:fldCharType="separate"/>
      </w:r>
      <w:r>
        <w:rPr>
          <w:rFonts w:hint="eastAsia"/>
        </w:rPr>
        <w:t>5.1.1 维护工具仪器和办公耗材</w:t>
      </w:r>
      <w:r>
        <w:tab/>
      </w:r>
      <w:r>
        <w:fldChar w:fldCharType="begin"/>
      </w:r>
      <w:r>
        <w:instrText xml:space="preserve"> PAGEREF _Toc12352 \h </w:instrText>
      </w:r>
      <w:r>
        <w:fldChar w:fldCharType="separate"/>
      </w:r>
      <w:r>
        <w:t>123</w:t>
      </w:r>
      <w:r>
        <w:fldChar w:fldCharType="end"/>
      </w:r>
      <w:r>
        <w:fldChar w:fldCharType="end"/>
      </w:r>
    </w:p>
    <w:p>
      <w:pPr>
        <w:pStyle w:val="39"/>
        <w:tabs>
          <w:tab w:val="right" w:leader="dot" w:pos="9071"/>
        </w:tabs>
      </w:pPr>
      <w:r>
        <w:fldChar w:fldCharType="begin"/>
      </w:r>
      <w:r>
        <w:instrText xml:space="preserve"> HYPERLINK \l "_Toc32011" </w:instrText>
      </w:r>
      <w:r>
        <w:fldChar w:fldCharType="separate"/>
      </w:r>
      <w:r>
        <w:rPr>
          <w:rFonts w:hint="eastAsia"/>
        </w:rPr>
        <w:t>5.1.2 文件要求</w:t>
      </w:r>
      <w:r>
        <w:tab/>
      </w:r>
      <w:r>
        <w:fldChar w:fldCharType="begin"/>
      </w:r>
      <w:r>
        <w:instrText xml:space="preserve"> PAGEREF _Toc32011 \h </w:instrText>
      </w:r>
      <w:r>
        <w:fldChar w:fldCharType="separate"/>
      </w:r>
      <w:r>
        <w:t>123</w:t>
      </w:r>
      <w:r>
        <w:fldChar w:fldCharType="end"/>
      </w:r>
      <w:r>
        <w:fldChar w:fldCharType="end"/>
      </w:r>
    </w:p>
    <w:p>
      <w:pPr>
        <w:pStyle w:val="64"/>
        <w:tabs>
          <w:tab w:val="right" w:leader="dot" w:pos="9071"/>
        </w:tabs>
      </w:pPr>
      <w:r>
        <w:fldChar w:fldCharType="begin"/>
      </w:r>
      <w:r>
        <w:instrText xml:space="preserve"> HYPERLINK \l "_Toc5109" </w:instrText>
      </w:r>
      <w:r>
        <w:fldChar w:fldCharType="separate"/>
      </w:r>
      <w:r>
        <w:t xml:space="preserve">5.2 </w:t>
      </w:r>
      <w:r>
        <w:rPr>
          <w:rFonts w:hint="eastAsia"/>
        </w:rPr>
        <w:t>运维服务考核要求</w:t>
      </w:r>
      <w:r>
        <w:tab/>
      </w:r>
      <w:r>
        <w:fldChar w:fldCharType="begin"/>
      </w:r>
      <w:r>
        <w:instrText xml:space="preserve"> PAGEREF _Toc5109 \h </w:instrText>
      </w:r>
      <w:r>
        <w:fldChar w:fldCharType="separate"/>
      </w:r>
      <w:r>
        <w:t>123</w:t>
      </w:r>
      <w:r>
        <w:fldChar w:fldCharType="end"/>
      </w:r>
      <w:r>
        <w:fldChar w:fldCharType="end"/>
      </w:r>
    </w:p>
    <w:p>
      <w:pPr>
        <w:pStyle w:val="39"/>
        <w:tabs>
          <w:tab w:val="right" w:leader="dot" w:pos="9071"/>
        </w:tabs>
      </w:pPr>
      <w:r>
        <w:fldChar w:fldCharType="begin"/>
      </w:r>
      <w:r>
        <w:instrText xml:space="preserve"> HYPERLINK \l "_Toc11207" </w:instrText>
      </w:r>
      <w:r>
        <w:fldChar w:fldCharType="separate"/>
      </w:r>
      <w:r>
        <w:rPr>
          <w:rFonts w:hint="eastAsia"/>
        </w:rPr>
        <w:t>5.2.1 日常考核办法</w:t>
      </w:r>
      <w:r>
        <w:tab/>
      </w:r>
      <w:r>
        <w:fldChar w:fldCharType="begin"/>
      </w:r>
      <w:r>
        <w:instrText xml:space="preserve"> PAGEREF _Toc11207 \h </w:instrText>
      </w:r>
      <w:r>
        <w:fldChar w:fldCharType="separate"/>
      </w:r>
      <w:r>
        <w:t>123</w:t>
      </w:r>
      <w:r>
        <w:fldChar w:fldCharType="end"/>
      </w:r>
      <w:r>
        <w:fldChar w:fldCharType="end"/>
      </w:r>
    </w:p>
    <w:p>
      <w:pPr>
        <w:pStyle w:val="39"/>
        <w:tabs>
          <w:tab w:val="right" w:leader="dot" w:pos="9071"/>
        </w:tabs>
      </w:pPr>
      <w:r>
        <w:fldChar w:fldCharType="begin"/>
      </w:r>
      <w:r>
        <w:instrText xml:space="preserve"> HYPERLINK \l "_Toc4430" </w:instrText>
      </w:r>
      <w:r>
        <w:fldChar w:fldCharType="separate"/>
      </w:r>
      <w:r>
        <w:rPr>
          <w:rFonts w:hint="eastAsia"/>
        </w:rPr>
        <w:t>5.2.2 事件考核办法</w:t>
      </w:r>
      <w:r>
        <w:tab/>
      </w:r>
      <w:r>
        <w:fldChar w:fldCharType="begin"/>
      </w:r>
      <w:r>
        <w:instrText xml:space="preserve"> PAGEREF _Toc4430 \h </w:instrText>
      </w:r>
      <w:r>
        <w:fldChar w:fldCharType="separate"/>
      </w:r>
      <w:r>
        <w:t>132</w:t>
      </w:r>
      <w:r>
        <w:fldChar w:fldCharType="end"/>
      </w:r>
      <w:r>
        <w:fldChar w:fldCharType="end"/>
      </w:r>
    </w:p>
    <w:p>
      <w:pPr>
        <w:pStyle w:val="39"/>
        <w:tabs>
          <w:tab w:val="right" w:leader="dot" w:pos="9071"/>
        </w:tabs>
      </w:pPr>
      <w:r>
        <w:fldChar w:fldCharType="begin"/>
      </w:r>
      <w:r>
        <w:instrText xml:space="preserve"> HYPERLINK \l "_Toc20915" </w:instrText>
      </w:r>
      <w:r>
        <w:fldChar w:fldCharType="separate"/>
      </w:r>
      <w:r>
        <w:rPr>
          <w:rFonts w:hint="eastAsia"/>
        </w:rPr>
        <w:t>5.2.3 服务考核支付标准</w:t>
      </w:r>
      <w:r>
        <w:tab/>
      </w:r>
      <w:r>
        <w:fldChar w:fldCharType="begin"/>
      </w:r>
      <w:r>
        <w:instrText xml:space="preserve"> PAGEREF _Toc20915 \h </w:instrText>
      </w:r>
      <w:r>
        <w:fldChar w:fldCharType="separate"/>
      </w:r>
      <w:r>
        <w:t>134</w:t>
      </w:r>
      <w:r>
        <w:fldChar w:fldCharType="end"/>
      </w:r>
      <w:r>
        <w:fldChar w:fldCharType="end"/>
      </w:r>
    </w:p>
    <w:p>
      <w:pPr>
        <w:pStyle w:val="64"/>
        <w:tabs>
          <w:tab w:val="right" w:leader="dot" w:pos="9071"/>
        </w:tabs>
      </w:pPr>
      <w:r>
        <w:fldChar w:fldCharType="begin"/>
      </w:r>
      <w:r>
        <w:instrText xml:space="preserve"> HYPERLINK \l "_Toc5579" </w:instrText>
      </w:r>
      <w:r>
        <w:fldChar w:fldCharType="separate"/>
      </w:r>
      <w:r>
        <w:t xml:space="preserve">5.3 </w:t>
      </w:r>
      <w:r>
        <w:rPr>
          <w:rFonts w:hint="eastAsia"/>
        </w:rPr>
        <w:t>服务实施计划要求</w:t>
      </w:r>
      <w:r>
        <w:tab/>
      </w:r>
      <w:r>
        <w:fldChar w:fldCharType="begin"/>
      </w:r>
      <w:r>
        <w:instrText xml:space="preserve"> PAGEREF _Toc5579 \h </w:instrText>
      </w:r>
      <w:r>
        <w:fldChar w:fldCharType="separate"/>
      </w:r>
      <w:r>
        <w:t>136</w:t>
      </w:r>
      <w:r>
        <w:fldChar w:fldCharType="end"/>
      </w:r>
      <w:r>
        <w:fldChar w:fldCharType="end"/>
      </w:r>
    </w:p>
    <w:p>
      <w:pPr>
        <w:pStyle w:val="39"/>
        <w:tabs>
          <w:tab w:val="right" w:leader="dot" w:pos="9071"/>
        </w:tabs>
      </w:pPr>
      <w:r>
        <w:fldChar w:fldCharType="begin"/>
      </w:r>
      <w:r>
        <w:instrText xml:space="preserve"> HYPERLINK \l "_Toc28958" </w:instrText>
      </w:r>
      <w:r>
        <w:fldChar w:fldCharType="separate"/>
      </w:r>
      <w:r>
        <w:rPr>
          <w:rFonts w:hint="eastAsia"/>
        </w:rPr>
        <w:t>5.3.1 维护服务计划</w:t>
      </w:r>
      <w:r>
        <w:tab/>
      </w:r>
      <w:r>
        <w:fldChar w:fldCharType="begin"/>
      </w:r>
      <w:r>
        <w:instrText xml:space="preserve"> PAGEREF _Toc28958 \h </w:instrText>
      </w:r>
      <w:r>
        <w:fldChar w:fldCharType="separate"/>
      </w:r>
      <w:r>
        <w:t>136</w:t>
      </w:r>
      <w:r>
        <w:fldChar w:fldCharType="end"/>
      </w:r>
      <w:r>
        <w:fldChar w:fldCharType="end"/>
      </w:r>
    </w:p>
    <w:p>
      <w:pPr>
        <w:pStyle w:val="39"/>
        <w:tabs>
          <w:tab w:val="right" w:leader="dot" w:pos="9071"/>
        </w:tabs>
      </w:pPr>
      <w:r>
        <w:fldChar w:fldCharType="begin"/>
      </w:r>
      <w:r>
        <w:instrText xml:space="preserve"> HYPERLINK \l "_Toc517" </w:instrText>
      </w:r>
      <w:r>
        <w:fldChar w:fldCharType="separate"/>
      </w:r>
      <w:r>
        <w:rPr>
          <w:rFonts w:hint="eastAsia"/>
        </w:rPr>
        <w:t>5.3.2 服务实施进度要求</w:t>
      </w:r>
      <w:r>
        <w:tab/>
      </w:r>
      <w:r>
        <w:fldChar w:fldCharType="begin"/>
      </w:r>
      <w:r>
        <w:instrText xml:space="preserve"> PAGEREF _Toc517 \h </w:instrText>
      </w:r>
      <w:r>
        <w:fldChar w:fldCharType="separate"/>
      </w:r>
      <w:r>
        <w:t>141</w:t>
      </w:r>
      <w:r>
        <w:fldChar w:fldCharType="end"/>
      </w:r>
      <w:r>
        <w:fldChar w:fldCharType="end"/>
      </w:r>
    </w:p>
    <w:p>
      <w:pPr>
        <w:pStyle w:val="50"/>
        <w:tabs>
          <w:tab w:val="right" w:leader="dot" w:pos="9071"/>
          <w:tab w:val="clear" w:pos="9061"/>
        </w:tabs>
      </w:pPr>
      <w:r>
        <w:fldChar w:fldCharType="begin"/>
      </w:r>
      <w:r>
        <w:instrText xml:space="preserve"> HYPERLINK \l "_Toc6929" </w:instrText>
      </w:r>
      <w:r>
        <w:fldChar w:fldCharType="separate"/>
      </w:r>
      <w:r>
        <w:rPr>
          <w:rFonts w:hint="eastAsia"/>
        </w:rPr>
        <w:t>六、 服务承诺和技术培训</w:t>
      </w:r>
      <w:r>
        <w:tab/>
      </w:r>
      <w:r>
        <w:fldChar w:fldCharType="begin"/>
      </w:r>
      <w:r>
        <w:instrText xml:space="preserve"> PAGEREF _Toc6929 \h </w:instrText>
      </w:r>
      <w:r>
        <w:fldChar w:fldCharType="separate"/>
      </w:r>
      <w:r>
        <w:t>143</w:t>
      </w:r>
      <w:r>
        <w:fldChar w:fldCharType="end"/>
      </w:r>
      <w:r>
        <w:fldChar w:fldCharType="end"/>
      </w:r>
    </w:p>
    <w:p>
      <w:pPr>
        <w:pStyle w:val="64"/>
        <w:tabs>
          <w:tab w:val="right" w:leader="dot" w:pos="9071"/>
        </w:tabs>
      </w:pPr>
      <w:r>
        <w:fldChar w:fldCharType="begin"/>
      </w:r>
      <w:r>
        <w:instrText xml:space="preserve"> HYPERLINK \l "_Toc2155" </w:instrText>
      </w:r>
      <w:r>
        <w:fldChar w:fldCharType="separate"/>
      </w:r>
      <w:r>
        <w:t xml:space="preserve">6.1 </w:t>
      </w:r>
      <w:r>
        <w:rPr>
          <w:rFonts w:hint="eastAsia"/>
        </w:rPr>
        <w:t>服务承诺</w:t>
      </w:r>
      <w:r>
        <w:tab/>
      </w:r>
      <w:r>
        <w:fldChar w:fldCharType="begin"/>
      </w:r>
      <w:r>
        <w:instrText xml:space="preserve"> PAGEREF _Toc2155 \h </w:instrText>
      </w:r>
      <w:r>
        <w:fldChar w:fldCharType="separate"/>
      </w:r>
      <w:r>
        <w:t>143</w:t>
      </w:r>
      <w:r>
        <w:fldChar w:fldCharType="end"/>
      </w:r>
      <w:r>
        <w:fldChar w:fldCharType="end"/>
      </w:r>
    </w:p>
    <w:p>
      <w:pPr>
        <w:pStyle w:val="64"/>
        <w:tabs>
          <w:tab w:val="right" w:leader="dot" w:pos="9071"/>
        </w:tabs>
      </w:pPr>
      <w:r>
        <w:fldChar w:fldCharType="begin"/>
      </w:r>
      <w:r>
        <w:instrText xml:space="preserve"> HYPERLINK \l "_Toc19451" </w:instrText>
      </w:r>
      <w:r>
        <w:fldChar w:fldCharType="separate"/>
      </w:r>
      <w:r>
        <w:t xml:space="preserve">6.2 </w:t>
      </w:r>
      <w:r>
        <w:rPr>
          <w:rFonts w:hint="eastAsia"/>
        </w:rPr>
        <w:t>技术培训</w:t>
      </w:r>
      <w:r>
        <w:tab/>
      </w:r>
      <w:r>
        <w:fldChar w:fldCharType="begin"/>
      </w:r>
      <w:r>
        <w:instrText xml:space="preserve"> PAGEREF _Toc19451 \h </w:instrText>
      </w:r>
      <w:r>
        <w:fldChar w:fldCharType="separate"/>
      </w:r>
      <w:r>
        <w:t>144</w:t>
      </w:r>
      <w:r>
        <w:fldChar w:fldCharType="end"/>
      </w:r>
      <w:r>
        <w:fldChar w:fldCharType="end"/>
      </w:r>
    </w:p>
    <w:p>
      <w:pPr>
        <w:pStyle w:val="39"/>
        <w:tabs>
          <w:tab w:val="right" w:leader="dot" w:pos="9071"/>
        </w:tabs>
      </w:pPr>
      <w:r>
        <w:fldChar w:fldCharType="begin"/>
      </w:r>
      <w:r>
        <w:instrText xml:space="preserve"> HYPERLINK \l "_Toc15457" </w:instrText>
      </w:r>
      <w:r>
        <w:fldChar w:fldCharType="separate"/>
      </w:r>
      <w:r>
        <w:rPr>
          <w:rFonts w:hint="eastAsia"/>
        </w:rPr>
        <w:t>6.2.2 培训人员、时间和地点</w:t>
      </w:r>
      <w:r>
        <w:tab/>
      </w:r>
      <w:r>
        <w:fldChar w:fldCharType="begin"/>
      </w:r>
      <w:r>
        <w:instrText xml:space="preserve"> PAGEREF _Toc15457 \h </w:instrText>
      </w:r>
      <w:r>
        <w:fldChar w:fldCharType="separate"/>
      </w:r>
      <w:r>
        <w:t>145</w:t>
      </w:r>
      <w:r>
        <w:fldChar w:fldCharType="end"/>
      </w:r>
      <w:r>
        <w:fldChar w:fldCharType="end"/>
      </w:r>
    </w:p>
    <w:p>
      <w:pPr>
        <w:pStyle w:val="39"/>
        <w:tabs>
          <w:tab w:val="right" w:leader="dot" w:pos="9071"/>
        </w:tabs>
      </w:pPr>
      <w:r>
        <w:fldChar w:fldCharType="begin"/>
      </w:r>
      <w:r>
        <w:instrText xml:space="preserve"> HYPERLINK \l "_Toc24611" </w:instrText>
      </w:r>
      <w:r>
        <w:fldChar w:fldCharType="separate"/>
      </w:r>
      <w:r>
        <w:rPr>
          <w:rFonts w:hint="eastAsia"/>
        </w:rPr>
        <w:t>6.2.3 培训讲师</w:t>
      </w:r>
      <w:r>
        <w:tab/>
      </w:r>
      <w:r>
        <w:fldChar w:fldCharType="begin"/>
      </w:r>
      <w:r>
        <w:instrText xml:space="preserve"> PAGEREF _Toc24611 \h </w:instrText>
      </w:r>
      <w:r>
        <w:fldChar w:fldCharType="separate"/>
      </w:r>
      <w:r>
        <w:t>145</w:t>
      </w:r>
      <w:r>
        <w:fldChar w:fldCharType="end"/>
      </w:r>
      <w:r>
        <w:fldChar w:fldCharType="end"/>
      </w:r>
    </w:p>
    <w:p>
      <w:pPr>
        <w:pStyle w:val="39"/>
        <w:tabs>
          <w:tab w:val="right" w:leader="dot" w:pos="9071"/>
        </w:tabs>
      </w:pPr>
      <w:r>
        <w:fldChar w:fldCharType="begin"/>
      </w:r>
      <w:r>
        <w:instrText xml:space="preserve"> HYPERLINK \l "_Toc25454" </w:instrText>
      </w:r>
      <w:r>
        <w:fldChar w:fldCharType="separate"/>
      </w:r>
      <w:r>
        <w:rPr>
          <w:rFonts w:hint="eastAsia"/>
        </w:rPr>
        <w:t>6.2.4 培训课程</w:t>
      </w:r>
      <w:r>
        <w:tab/>
      </w:r>
      <w:r>
        <w:fldChar w:fldCharType="begin"/>
      </w:r>
      <w:r>
        <w:instrText xml:space="preserve"> PAGEREF _Toc25454 \h </w:instrText>
      </w:r>
      <w:r>
        <w:fldChar w:fldCharType="separate"/>
      </w:r>
      <w:r>
        <w:t>145</w:t>
      </w:r>
      <w:r>
        <w:fldChar w:fldCharType="end"/>
      </w:r>
      <w:r>
        <w:fldChar w:fldCharType="end"/>
      </w:r>
    </w:p>
    <w:p>
      <w:pPr>
        <w:pStyle w:val="50"/>
        <w:tabs>
          <w:tab w:val="right" w:leader="dot" w:pos="9071"/>
          <w:tab w:val="clear" w:pos="9061"/>
        </w:tabs>
      </w:pPr>
      <w:r>
        <w:fldChar w:fldCharType="begin"/>
      </w:r>
      <w:r>
        <w:instrText xml:space="preserve"> HYPERLINK \l "_Toc29763" </w:instrText>
      </w:r>
      <w:r>
        <w:fldChar w:fldCharType="separate"/>
      </w:r>
      <w:r>
        <w:rPr>
          <w:rFonts w:hint="eastAsia"/>
        </w:rPr>
        <w:t>七、 技术文件及交付物</w:t>
      </w:r>
      <w:r>
        <w:tab/>
      </w:r>
      <w:r>
        <w:fldChar w:fldCharType="begin"/>
      </w:r>
      <w:r>
        <w:instrText xml:space="preserve"> PAGEREF _Toc29763 \h </w:instrText>
      </w:r>
      <w:r>
        <w:fldChar w:fldCharType="separate"/>
      </w:r>
      <w:r>
        <w:t>149</w:t>
      </w:r>
      <w:r>
        <w:fldChar w:fldCharType="end"/>
      </w:r>
      <w:r>
        <w:fldChar w:fldCharType="end"/>
      </w:r>
    </w:p>
    <w:p>
      <w:pPr>
        <w:pStyle w:val="50"/>
        <w:tabs>
          <w:tab w:val="right" w:leader="dot" w:pos="9071"/>
          <w:tab w:val="clear" w:pos="9061"/>
        </w:tabs>
      </w:pPr>
      <w:r>
        <w:fldChar w:fldCharType="begin"/>
      </w:r>
      <w:r>
        <w:instrText xml:space="preserve"> HYPERLINK \l "_Toc7783" </w:instrText>
      </w:r>
      <w:r>
        <w:fldChar w:fldCharType="separate"/>
      </w:r>
      <w:r>
        <w:rPr>
          <w:rFonts w:hint="eastAsia"/>
        </w:rPr>
        <w:t>八、 其它</w:t>
      </w:r>
      <w:r>
        <w:tab/>
      </w:r>
      <w:r>
        <w:fldChar w:fldCharType="begin"/>
      </w:r>
      <w:r>
        <w:instrText xml:space="preserve"> PAGEREF _Toc7783 \h </w:instrText>
      </w:r>
      <w:r>
        <w:fldChar w:fldCharType="separate"/>
      </w:r>
      <w:r>
        <w:t>150</w:t>
      </w:r>
      <w:r>
        <w:fldChar w:fldCharType="end"/>
      </w:r>
      <w:r>
        <w:fldChar w:fldCharType="end"/>
      </w:r>
    </w:p>
    <w:p>
      <w:pPr>
        <w:pStyle w:val="50"/>
      </w:pPr>
      <w:r>
        <w:fldChar w:fldCharType="end"/>
      </w:r>
    </w:p>
    <w:p>
      <w:pPr>
        <w:pStyle w:val="50"/>
      </w:pPr>
      <w:r>
        <w:br w:type="page"/>
      </w:r>
    </w:p>
    <w:p/>
    <w:p>
      <w:pPr>
        <w:pStyle w:val="63"/>
        <w:tabs>
          <w:tab w:val="right" w:leader="dot" w:pos="9071"/>
        </w:tabs>
        <w:ind w:left="960" w:hanging="480"/>
      </w:pPr>
      <w:r>
        <w:fldChar w:fldCharType="begin"/>
      </w:r>
      <w:r>
        <w:instrText xml:space="preserve"> TOC \h \z \t "</w:instrText>
      </w:r>
      <w:r>
        <w:rPr>
          <w:rFonts w:hint="eastAsia"/>
        </w:rPr>
        <w:instrText xml:space="preserve">标题</w:instrText>
      </w:r>
      <w:r>
        <w:instrText xml:space="preserve"> 8" \c </w:instrText>
      </w:r>
      <w:r>
        <w:fldChar w:fldCharType="separate"/>
      </w:r>
      <w:r>
        <w:fldChar w:fldCharType="begin"/>
      </w:r>
      <w:r>
        <w:instrText xml:space="preserve"> HYPERLINK \l "_Toc25935" </w:instrText>
      </w:r>
      <w:r>
        <w:fldChar w:fldCharType="separate"/>
      </w:r>
      <w:r>
        <w:rPr>
          <w:rFonts w:hint="eastAsia"/>
        </w:rPr>
        <w:t>图2-1 配电系统图</w:t>
      </w:r>
      <w:r>
        <w:tab/>
      </w:r>
      <w:r>
        <w:fldChar w:fldCharType="begin"/>
      </w:r>
      <w:r>
        <w:instrText xml:space="preserve"> PAGEREF _Toc25935 \h </w:instrText>
      </w:r>
      <w:r>
        <w:fldChar w:fldCharType="separate"/>
      </w:r>
      <w:r>
        <w:t>14</w:t>
      </w:r>
      <w:r>
        <w:fldChar w:fldCharType="end"/>
      </w:r>
      <w:r>
        <w:fldChar w:fldCharType="end"/>
      </w:r>
    </w:p>
    <w:p>
      <w:pPr>
        <w:pStyle w:val="63"/>
        <w:tabs>
          <w:tab w:val="right" w:leader="dot" w:pos="9071"/>
        </w:tabs>
        <w:ind w:left="960" w:hanging="480"/>
      </w:pPr>
      <w:r>
        <w:fldChar w:fldCharType="begin"/>
      </w:r>
      <w:r>
        <w:instrText xml:space="preserve"> HYPERLINK \l "_Toc13314" </w:instrText>
      </w:r>
      <w:r>
        <w:fldChar w:fldCharType="separate"/>
      </w:r>
      <w:r>
        <w:rPr>
          <w:rFonts w:hint="eastAsia"/>
        </w:rPr>
        <w:t>图2-2 云计算中心光纤配线路由图</w:t>
      </w:r>
      <w:r>
        <w:tab/>
      </w:r>
      <w:r>
        <w:fldChar w:fldCharType="begin"/>
      </w:r>
      <w:r>
        <w:instrText xml:space="preserve"> PAGEREF _Toc13314 \h </w:instrText>
      </w:r>
      <w:r>
        <w:fldChar w:fldCharType="separate"/>
      </w:r>
      <w:r>
        <w:t>21</w:t>
      </w:r>
      <w:r>
        <w:fldChar w:fldCharType="end"/>
      </w:r>
      <w:r>
        <w:fldChar w:fldCharType="end"/>
      </w:r>
    </w:p>
    <w:p>
      <w:pPr>
        <w:pStyle w:val="63"/>
        <w:tabs>
          <w:tab w:val="right" w:leader="dot" w:pos="9071"/>
        </w:tabs>
        <w:ind w:left="960" w:hanging="480"/>
      </w:pPr>
      <w:r>
        <w:fldChar w:fldCharType="begin"/>
      </w:r>
      <w:r>
        <w:instrText xml:space="preserve"> HYPERLINK \l "_Toc9144" </w:instrText>
      </w:r>
      <w:r>
        <w:fldChar w:fldCharType="separate"/>
      </w:r>
      <w:r>
        <w:rPr>
          <w:rFonts w:hint="eastAsia"/>
        </w:rPr>
        <w:t>图2-3 ER-MDA结构示意图</w:t>
      </w:r>
      <w:r>
        <w:tab/>
      </w:r>
      <w:r>
        <w:fldChar w:fldCharType="begin"/>
      </w:r>
      <w:r>
        <w:instrText xml:space="preserve"> PAGEREF _Toc9144 \h </w:instrText>
      </w:r>
      <w:r>
        <w:fldChar w:fldCharType="separate"/>
      </w:r>
      <w:r>
        <w:t>22</w:t>
      </w:r>
      <w:r>
        <w:fldChar w:fldCharType="end"/>
      </w:r>
      <w:r>
        <w:fldChar w:fldCharType="end"/>
      </w:r>
    </w:p>
    <w:p>
      <w:pPr>
        <w:pStyle w:val="63"/>
        <w:tabs>
          <w:tab w:val="right" w:leader="dot" w:pos="9071"/>
        </w:tabs>
        <w:ind w:left="960" w:hanging="480"/>
      </w:pPr>
      <w:r>
        <w:fldChar w:fldCharType="begin"/>
      </w:r>
      <w:r>
        <w:instrText xml:space="preserve"> HYPERLINK \l "_Toc31060" </w:instrText>
      </w:r>
      <w:r>
        <w:fldChar w:fldCharType="separate"/>
      </w:r>
      <w:r>
        <w:rPr>
          <w:rFonts w:hint="eastAsia"/>
        </w:rPr>
        <w:t>图2-4 二楼主配线区和三楼主配线区结构示意图</w:t>
      </w:r>
      <w:r>
        <w:tab/>
      </w:r>
      <w:r>
        <w:fldChar w:fldCharType="begin"/>
      </w:r>
      <w:r>
        <w:instrText xml:space="preserve"> PAGEREF _Toc31060 \h </w:instrText>
      </w:r>
      <w:r>
        <w:fldChar w:fldCharType="separate"/>
      </w:r>
      <w:r>
        <w:t>22</w:t>
      </w:r>
      <w:r>
        <w:fldChar w:fldCharType="end"/>
      </w:r>
      <w:r>
        <w:fldChar w:fldCharType="end"/>
      </w:r>
    </w:p>
    <w:p>
      <w:pPr>
        <w:pStyle w:val="63"/>
        <w:tabs>
          <w:tab w:val="right" w:leader="dot" w:pos="9071"/>
        </w:tabs>
        <w:ind w:left="960" w:hanging="480"/>
      </w:pPr>
      <w:r>
        <w:fldChar w:fldCharType="begin"/>
      </w:r>
      <w:r>
        <w:instrText xml:space="preserve"> HYPERLINK \l "_Toc8628" </w:instrText>
      </w:r>
      <w:r>
        <w:fldChar w:fldCharType="separate"/>
      </w:r>
      <w:r>
        <w:rPr>
          <w:rFonts w:hint="eastAsia"/>
        </w:rPr>
        <w:t>图2-5 一、二层传统机房布线机构示意图</w:t>
      </w:r>
      <w:r>
        <w:tab/>
      </w:r>
      <w:r>
        <w:fldChar w:fldCharType="begin"/>
      </w:r>
      <w:r>
        <w:instrText xml:space="preserve"> PAGEREF _Toc8628 \h </w:instrText>
      </w:r>
      <w:r>
        <w:fldChar w:fldCharType="separate"/>
      </w:r>
      <w:r>
        <w:t>23</w:t>
      </w:r>
      <w:r>
        <w:fldChar w:fldCharType="end"/>
      </w:r>
      <w:r>
        <w:fldChar w:fldCharType="end"/>
      </w:r>
    </w:p>
    <w:p>
      <w:pPr>
        <w:pStyle w:val="63"/>
        <w:tabs>
          <w:tab w:val="right" w:leader="dot" w:pos="9071"/>
        </w:tabs>
        <w:ind w:left="960" w:hanging="480"/>
      </w:pPr>
      <w:r>
        <w:fldChar w:fldCharType="begin"/>
      </w:r>
      <w:r>
        <w:instrText xml:space="preserve"> HYPERLINK \l "_Toc9899" </w:instrText>
      </w:r>
      <w:r>
        <w:fldChar w:fldCharType="separate"/>
      </w:r>
      <w:r>
        <w:rPr>
          <w:rFonts w:hint="eastAsia"/>
        </w:rPr>
        <w:t>图2-6 四层模块化机房布线机构示意图</w:t>
      </w:r>
      <w:r>
        <w:tab/>
      </w:r>
      <w:r>
        <w:fldChar w:fldCharType="begin"/>
      </w:r>
      <w:r>
        <w:instrText xml:space="preserve"> PAGEREF _Toc9899 \h </w:instrText>
      </w:r>
      <w:r>
        <w:fldChar w:fldCharType="separate"/>
      </w:r>
      <w:r>
        <w:t>24</w:t>
      </w:r>
      <w:r>
        <w:fldChar w:fldCharType="end"/>
      </w:r>
      <w:r>
        <w:fldChar w:fldCharType="end"/>
      </w:r>
    </w:p>
    <w:p>
      <w:pPr>
        <w:pStyle w:val="63"/>
        <w:tabs>
          <w:tab w:val="right" w:leader="dot" w:pos="9071"/>
        </w:tabs>
        <w:ind w:left="960" w:hanging="480"/>
      </w:pPr>
      <w:r>
        <w:fldChar w:fldCharType="begin"/>
      </w:r>
      <w:r>
        <w:instrText xml:space="preserve"> HYPERLINK \l "_Toc28782" </w:instrText>
      </w:r>
      <w:r>
        <w:fldChar w:fldCharType="separate"/>
      </w:r>
      <w:r>
        <w:rPr>
          <w:rFonts w:hint="eastAsia"/>
        </w:rPr>
        <w:t>图2-7 机房防雷设计图</w:t>
      </w:r>
      <w:r>
        <w:tab/>
      </w:r>
      <w:r>
        <w:fldChar w:fldCharType="begin"/>
      </w:r>
      <w:r>
        <w:instrText xml:space="preserve"> PAGEREF _Toc28782 \h </w:instrText>
      </w:r>
      <w:r>
        <w:fldChar w:fldCharType="separate"/>
      </w:r>
      <w:r>
        <w:t>24</w:t>
      </w:r>
      <w:r>
        <w:fldChar w:fldCharType="end"/>
      </w:r>
      <w:r>
        <w:fldChar w:fldCharType="end"/>
      </w:r>
    </w:p>
    <w:p>
      <w:r>
        <w:fldChar w:fldCharType="end"/>
      </w:r>
    </w:p>
    <w:p/>
    <w:p>
      <w:pPr>
        <w:pStyle w:val="63"/>
        <w:tabs>
          <w:tab w:val="right" w:leader="dot" w:pos="9061"/>
        </w:tabs>
        <w:ind w:left="960" w:hanging="480"/>
        <w:rPr>
          <w:rFonts w:asciiTheme="minorHAnsi" w:hAnsiTheme="minorHAnsi" w:eastAsiaTheme="minorEastAsia" w:cstheme="minorBidi"/>
          <w:sz w:val="21"/>
          <w:szCs w:val="22"/>
          <w14:ligatures w14:val="standardContextual"/>
        </w:rPr>
      </w:pPr>
      <w:r>
        <w:rPr>
          <w:rFonts w:ascii="Arial" w:hAnsi="Arial" w:cs="Arial"/>
          <w:smallCaps/>
          <w:szCs w:val="20"/>
        </w:rPr>
        <w:fldChar w:fldCharType="begin"/>
      </w:r>
      <w:r>
        <w:rPr>
          <w:rFonts w:ascii="Arial" w:hAnsi="Arial" w:cs="Arial"/>
          <w:smallCaps/>
          <w:szCs w:val="20"/>
        </w:rPr>
        <w:instrText xml:space="preserve"> TOC \h \z \t "</w:instrText>
      </w:r>
      <w:r>
        <w:rPr>
          <w:rFonts w:hint="eastAsia" w:ascii="Arial" w:hAnsi="Arial" w:cs="Arial"/>
          <w:smallCaps/>
          <w:szCs w:val="20"/>
        </w:rPr>
        <w:instrText xml:space="preserve">标题</w:instrText>
      </w:r>
      <w:r>
        <w:rPr>
          <w:rFonts w:ascii="Arial" w:hAnsi="Arial" w:cs="Arial"/>
          <w:smallCaps/>
          <w:szCs w:val="20"/>
        </w:rPr>
        <w:instrText xml:space="preserve"> 9" \c </w:instrText>
      </w:r>
      <w:r>
        <w:rPr>
          <w:rFonts w:ascii="Arial" w:hAnsi="Arial" w:cs="Arial"/>
          <w:smallCaps/>
          <w:szCs w:val="20"/>
        </w:rPr>
        <w:fldChar w:fldCharType="separate"/>
      </w:r>
      <w:r>
        <w:fldChar w:fldCharType="begin"/>
      </w:r>
      <w:r>
        <w:instrText xml:space="preserve"> HYPERLINK \l "_Toc165045244" </w:instrText>
      </w:r>
      <w:r>
        <w:fldChar w:fldCharType="separate"/>
      </w:r>
      <w:r>
        <w:rPr>
          <w:rStyle w:val="92"/>
          <w:color w:val="auto"/>
        </w:rPr>
        <w:t>表2-1 云计算中心平面功能间布局</w:t>
      </w:r>
      <w:r>
        <w:tab/>
      </w:r>
      <w:r>
        <w:fldChar w:fldCharType="begin"/>
      </w:r>
      <w:r>
        <w:instrText xml:space="preserve"> PAGEREF _Toc165045244 \h </w:instrText>
      </w:r>
      <w:r>
        <w:fldChar w:fldCharType="separate"/>
      </w:r>
      <w:r>
        <w:t>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"_Toc165045245" </w:instrText>
      </w:r>
      <w:r>
        <w:fldChar w:fldCharType="separate"/>
      </w:r>
      <w:r>
        <w:rPr>
          <w:rStyle w:val="92"/>
          <w:color w:val="auto"/>
        </w:rPr>
        <w:t>表2-2 机柜数量统计表</w:t>
      </w:r>
      <w:r>
        <w:tab/>
      </w:r>
      <w:r>
        <w:fldChar w:fldCharType="begin"/>
      </w:r>
      <w:r>
        <w:instrText xml:space="preserve"> PAGEREF _Toc165045245 \h </w:instrText>
      </w:r>
      <w:r>
        <w:fldChar w:fldCharType="separate"/>
      </w:r>
      <w:r>
        <w:t>10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"_Toc165045246" </w:instrText>
      </w:r>
      <w:r>
        <w:fldChar w:fldCharType="separate"/>
      </w:r>
      <w:r>
        <w:rPr>
          <w:rStyle w:val="92"/>
          <w:color w:val="auto"/>
        </w:rPr>
        <w:t>表2-3 机房通风空调系统设备统计表</w:t>
      </w:r>
      <w:r>
        <w:tab/>
      </w:r>
      <w:r>
        <w:fldChar w:fldCharType="begin"/>
      </w:r>
      <w:r>
        <w:instrText xml:space="preserve"> PAGEREF _Toc165045246 \h </w:instrText>
      </w:r>
      <w:r>
        <w:fldChar w:fldCharType="separate"/>
      </w:r>
      <w:r>
        <w:t>11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"_Toc165045247" </w:instrText>
      </w:r>
      <w:r>
        <w:fldChar w:fldCharType="separate"/>
      </w:r>
      <w:r>
        <w:rPr>
          <w:rStyle w:val="92"/>
          <w:color w:val="auto"/>
        </w:rPr>
        <w:t>表2-4 冷冻水系统设备统计表</w:t>
      </w:r>
      <w:r>
        <w:tab/>
      </w:r>
      <w:r>
        <w:fldChar w:fldCharType="begin"/>
      </w:r>
      <w:r>
        <w:instrText xml:space="preserve"> PAGEREF _Toc165045247 \h </w:instrText>
      </w:r>
      <w:r>
        <w:fldChar w:fldCharType="separate"/>
      </w:r>
      <w:r>
        <w:t>13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"_Toc165045248" </w:instrText>
      </w:r>
      <w:r>
        <w:fldChar w:fldCharType="separate"/>
      </w:r>
      <w:r>
        <w:rPr>
          <w:rStyle w:val="92"/>
          <w:color w:val="auto"/>
        </w:rPr>
        <w:t>表2-5 高低压配电设备统计表</w:t>
      </w:r>
      <w:r>
        <w:tab/>
      </w:r>
      <w:r>
        <w:fldChar w:fldCharType="begin"/>
      </w:r>
      <w:r>
        <w:instrText xml:space="preserve"> PAGEREF _Toc165045248 \h </w:instrText>
      </w:r>
      <w:r>
        <w:fldChar w:fldCharType="separate"/>
      </w:r>
      <w:r>
        <w:t>14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"_Toc165045249" </w:instrText>
      </w:r>
      <w:r>
        <w:fldChar w:fldCharType="separate"/>
      </w:r>
      <w:r>
        <w:rPr>
          <w:rStyle w:val="92"/>
          <w:color w:val="auto"/>
        </w:rPr>
        <w:t>表2-6 UPS系统设备统计表</w:t>
      </w:r>
      <w:r>
        <w:tab/>
      </w:r>
      <w:r>
        <w:fldChar w:fldCharType="begin"/>
      </w:r>
      <w:r>
        <w:instrText xml:space="preserve"> PAGEREF _Toc165045249 \h </w:instrText>
      </w:r>
      <w:r>
        <w:fldChar w:fldCharType="separate"/>
      </w:r>
      <w:r>
        <w:t>15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"_Toc165045250" </w:instrText>
      </w:r>
      <w:r>
        <w:fldChar w:fldCharType="separate"/>
      </w:r>
      <w:r>
        <w:rPr>
          <w:rStyle w:val="92"/>
          <w:color w:val="auto"/>
        </w:rPr>
        <w:t>表2-7 机房视频监控系统配置表</w:t>
      </w:r>
      <w:r>
        <w:tab/>
      </w:r>
      <w:r>
        <w:fldChar w:fldCharType="begin"/>
      </w:r>
      <w:r>
        <w:instrText xml:space="preserve"> PAGEREF _Toc165045250 \h </w:instrText>
      </w:r>
      <w:r>
        <w:fldChar w:fldCharType="separate"/>
      </w:r>
      <w:r>
        <w:t>16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"_Toc165045251" </w:instrText>
      </w:r>
      <w:r>
        <w:fldChar w:fldCharType="separate"/>
      </w:r>
      <w:r>
        <w:rPr>
          <w:rStyle w:val="92"/>
          <w:color w:val="auto"/>
        </w:rPr>
        <w:t>表2-8 机房门禁点位表</w:t>
      </w:r>
      <w:r>
        <w:tab/>
      </w:r>
      <w:r>
        <w:fldChar w:fldCharType="begin"/>
      </w:r>
      <w:r>
        <w:instrText xml:space="preserve"> PAGEREF _Toc165045251 \h </w:instrText>
      </w:r>
      <w:r>
        <w:fldChar w:fldCharType="separate"/>
      </w:r>
      <w:r>
        <w:t>17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"_Toc165045252" </w:instrText>
      </w:r>
      <w:r>
        <w:fldChar w:fldCharType="separate"/>
      </w:r>
      <w:r>
        <w:rPr>
          <w:rStyle w:val="92"/>
          <w:color w:val="auto"/>
        </w:rPr>
        <w:t>表2-9 报警点位表</w:t>
      </w:r>
      <w:r>
        <w:tab/>
      </w:r>
      <w:r>
        <w:fldChar w:fldCharType="begin"/>
      </w:r>
      <w:r>
        <w:instrText xml:space="preserve"> PAGEREF _Toc165045252 \h </w:instrText>
      </w:r>
      <w:r>
        <w:fldChar w:fldCharType="separate"/>
      </w:r>
      <w:r>
        <w:t>19</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"_Toc165045253" </w:instrText>
      </w:r>
      <w:r>
        <w:fldChar w:fldCharType="separate"/>
      </w:r>
      <w:r>
        <w:rPr>
          <w:rStyle w:val="92"/>
          <w:color w:val="auto"/>
        </w:rPr>
        <w:t>表2-10 消防系统设备点位表</w:t>
      </w:r>
      <w:r>
        <w:tab/>
      </w:r>
      <w:r>
        <w:fldChar w:fldCharType="begin"/>
      </w:r>
      <w:r>
        <w:instrText xml:space="preserve"> PAGEREF _Toc165045253 \h </w:instrText>
      </w:r>
      <w:r>
        <w:fldChar w:fldCharType="separate"/>
      </w:r>
      <w:r>
        <w:t>25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"_Toc165045254" </w:instrText>
      </w:r>
      <w:r>
        <w:fldChar w:fldCharType="separate"/>
      </w:r>
      <w:r>
        <w:rPr>
          <w:rStyle w:val="92"/>
          <w:color w:val="auto"/>
        </w:rPr>
        <w:t>表2-11 机房KVM及串口控制台数量表</w:t>
      </w:r>
      <w:r>
        <w:tab/>
      </w:r>
      <w:r>
        <w:fldChar w:fldCharType="begin"/>
      </w:r>
      <w:r>
        <w:instrText xml:space="preserve"> PAGEREF _Toc165045254 \h </w:instrText>
      </w:r>
      <w:r>
        <w:fldChar w:fldCharType="separate"/>
      </w:r>
      <w:r>
        <w:t>28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"_Toc165045255" </w:instrText>
      </w:r>
      <w:r>
        <w:fldChar w:fldCharType="separate"/>
      </w:r>
      <w:r>
        <w:rPr>
          <w:rStyle w:val="92"/>
          <w:color w:val="auto"/>
        </w:rPr>
        <w:t>表2-12 机房动环监控系统汇总表</w:t>
      </w:r>
      <w:r>
        <w:tab/>
      </w:r>
      <w:r>
        <w:fldChar w:fldCharType="begin"/>
      </w:r>
      <w:r>
        <w:instrText xml:space="preserve"> PAGEREF _Toc165045255 \h </w:instrText>
      </w:r>
      <w:r>
        <w:fldChar w:fldCharType="separate"/>
      </w:r>
      <w:r>
        <w:t>31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"_Toc165045256" </w:instrText>
      </w:r>
      <w:r>
        <w:fldChar w:fldCharType="separate"/>
      </w:r>
      <w:r>
        <w:rPr>
          <w:rStyle w:val="92"/>
          <w:color w:val="auto"/>
        </w:rPr>
        <w:t>表3-1 基础运维团队服务品目</w:t>
      </w:r>
      <w:r>
        <w:tab/>
      </w:r>
      <w:r>
        <w:fldChar w:fldCharType="begin"/>
      </w:r>
      <w:r>
        <w:instrText xml:space="preserve"> PAGEREF _Toc165045256 \h </w:instrText>
      </w:r>
      <w:r>
        <w:fldChar w:fldCharType="separate"/>
      </w:r>
      <w:r>
        <w:t>34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"_Toc165045257" </w:instrText>
      </w:r>
      <w:r>
        <w:fldChar w:fldCharType="separate"/>
      </w:r>
      <w:r>
        <w:rPr>
          <w:rStyle w:val="92"/>
          <w:color w:val="auto"/>
        </w:rPr>
        <w:t>表3-2 维修维护服务品目</w:t>
      </w:r>
      <w:r>
        <w:tab/>
      </w:r>
      <w:r>
        <w:fldChar w:fldCharType="begin"/>
      </w:r>
      <w:r>
        <w:instrText xml:space="preserve"> PAGEREF _Toc165045257 \h </w:instrText>
      </w:r>
      <w:r>
        <w:fldChar w:fldCharType="separate"/>
      </w:r>
      <w:r>
        <w:t>34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"_Toc165045258" </w:instrText>
      </w:r>
      <w:r>
        <w:fldChar w:fldCharType="separate"/>
      </w:r>
      <w:r>
        <w:rPr>
          <w:rStyle w:val="92"/>
          <w:color w:val="auto"/>
        </w:rPr>
        <w:t>表3-3 检测及测评服务品目</w:t>
      </w:r>
      <w:r>
        <w:tab/>
      </w:r>
      <w:r>
        <w:fldChar w:fldCharType="begin"/>
      </w:r>
      <w:r>
        <w:instrText xml:space="preserve"> PAGEREF _Toc165045258 \h </w:instrText>
      </w:r>
      <w:r>
        <w:fldChar w:fldCharType="separate"/>
      </w:r>
      <w:r>
        <w:t>35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"_Toc165045259" </w:instrText>
      </w:r>
      <w:r>
        <w:fldChar w:fldCharType="separate"/>
      </w:r>
      <w:r>
        <w:rPr>
          <w:rStyle w:val="92"/>
          <w:color w:val="auto"/>
        </w:rPr>
        <w:t>表3-4 改造提升服务品目</w:t>
      </w:r>
      <w:r>
        <w:tab/>
      </w:r>
      <w:r>
        <w:fldChar w:fldCharType="begin"/>
      </w:r>
      <w:r>
        <w:instrText xml:space="preserve"> PAGEREF _Toc165045259 \h </w:instrText>
      </w:r>
      <w:r>
        <w:fldChar w:fldCharType="separate"/>
      </w:r>
      <w:r>
        <w:t>36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"_Toc165045260" </w:instrText>
      </w:r>
      <w:r>
        <w:fldChar w:fldCharType="separate"/>
      </w:r>
      <w:r>
        <w:rPr>
          <w:rStyle w:val="92"/>
          <w:color w:val="auto"/>
        </w:rPr>
        <w:t>表3-5 备品备件及耗材服务品目</w:t>
      </w:r>
      <w:r>
        <w:tab/>
      </w:r>
      <w:r>
        <w:fldChar w:fldCharType="begin"/>
      </w:r>
      <w:r>
        <w:instrText xml:space="preserve"> PAGEREF _Toc165045260 \h </w:instrText>
      </w:r>
      <w:r>
        <w:fldChar w:fldCharType="separate"/>
      </w:r>
      <w:r>
        <w:t>37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"_Toc165045261" </w:instrText>
      </w:r>
      <w:r>
        <w:fldChar w:fldCharType="separate"/>
      </w:r>
      <w:r>
        <w:rPr>
          <w:rStyle w:val="92"/>
          <w:color w:val="auto"/>
        </w:rPr>
        <w:t>表4-1 云计算中心基础设施运维服务范围要求</w:t>
      </w:r>
      <w:r>
        <w:tab/>
      </w:r>
      <w:r>
        <w:fldChar w:fldCharType="begin"/>
      </w:r>
      <w:r>
        <w:instrText xml:space="preserve"> PAGEREF _Toc165045261 \h </w:instrText>
      </w:r>
      <w:r>
        <w:fldChar w:fldCharType="separate"/>
      </w:r>
      <w:r>
        <w:t>38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"_Toc165045262" </w:instrText>
      </w:r>
      <w:r>
        <w:fldChar w:fldCharType="separate"/>
      </w:r>
      <w:r>
        <w:rPr>
          <w:rStyle w:val="92"/>
          <w:color w:val="auto"/>
        </w:rPr>
        <w:t>表4-2 云计算中心基础设施运维关键服务事项要求</w:t>
      </w:r>
      <w:r>
        <w:tab/>
      </w:r>
      <w:r>
        <w:fldChar w:fldCharType="begin"/>
      </w:r>
      <w:r>
        <w:instrText xml:space="preserve"> PAGEREF _Toc165045262 \h </w:instrText>
      </w:r>
      <w:r>
        <w:fldChar w:fldCharType="separate"/>
      </w:r>
      <w:r>
        <w:t>40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"_Toc165045263" </w:instrText>
      </w:r>
      <w:r>
        <w:fldChar w:fldCharType="separate"/>
      </w:r>
      <w:r>
        <w:rPr>
          <w:rStyle w:val="92"/>
          <w:color w:val="auto"/>
        </w:rPr>
        <w:t>表4-3 团队各岗位人员具体数量配置和岗位要求</w:t>
      </w:r>
      <w:r>
        <w:tab/>
      </w:r>
      <w:r>
        <w:fldChar w:fldCharType="begin"/>
      </w:r>
      <w:r>
        <w:instrText xml:space="preserve"> PAGEREF _Toc165045263 \h </w:instrText>
      </w:r>
      <w:r>
        <w:fldChar w:fldCharType="separate"/>
      </w:r>
      <w:r>
        <w:t>46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"_Toc165045264" </w:instrText>
      </w:r>
      <w:r>
        <w:fldChar w:fldCharType="separate"/>
      </w:r>
      <w:r>
        <w:rPr>
          <w:rStyle w:val="92"/>
          <w:color w:val="auto"/>
        </w:rPr>
        <w:t>表4-4 相关信息安全责任转移清单</w:t>
      </w:r>
      <w:r>
        <w:tab/>
      </w:r>
      <w:r>
        <w:fldChar w:fldCharType="begin"/>
      </w:r>
      <w:r>
        <w:instrText xml:space="preserve"> PAGEREF _Toc165045264 \h </w:instrText>
      </w:r>
      <w:r>
        <w:fldChar w:fldCharType="separate"/>
      </w:r>
      <w:r>
        <w:t>54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"_Toc165045265" </w:instrText>
      </w:r>
      <w:r>
        <w:fldChar w:fldCharType="separate"/>
      </w:r>
      <w:r>
        <w:rPr>
          <w:rStyle w:val="92"/>
          <w:color w:val="auto"/>
        </w:rPr>
        <w:t>表4-5 高压配电设备监控表</w:t>
      </w:r>
      <w:r>
        <w:tab/>
      </w:r>
      <w:r>
        <w:fldChar w:fldCharType="begin"/>
      </w:r>
      <w:r>
        <w:instrText xml:space="preserve"> PAGEREF _Toc165045265 \h </w:instrText>
      </w:r>
      <w:r>
        <w:fldChar w:fldCharType="separate"/>
      </w:r>
      <w:r>
        <w:t>65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"_Toc165045266" </w:instrText>
      </w:r>
      <w:r>
        <w:fldChar w:fldCharType="separate"/>
      </w:r>
      <w:r>
        <w:rPr>
          <w:rStyle w:val="92"/>
          <w:color w:val="auto"/>
        </w:rPr>
        <w:t>表4-6 高压配电设备和运行环境巡检表</w:t>
      </w:r>
      <w:r>
        <w:tab/>
      </w:r>
      <w:r>
        <w:fldChar w:fldCharType="begin"/>
      </w:r>
      <w:r>
        <w:instrText xml:space="preserve"> PAGEREF _Toc165045266 \h </w:instrText>
      </w:r>
      <w:r>
        <w:fldChar w:fldCharType="separate"/>
      </w:r>
      <w:r>
        <w:t>65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"_Toc165045267" </w:instrText>
      </w:r>
      <w:r>
        <w:fldChar w:fldCharType="separate"/>
      </w:r>
      <w:r>
        <w:rPr>
          <w:rStyle w:val="92"/>
          <w:color w:val="auto"/>
        </w:rPr>
        <w:t>表4-7 高压配电设备故障报警表</w:t>
      </w:r>
      <w:r>
        <w:tab/>
      </w:r>
      <w:r>
        <w:fldChar w:fldCharType="begin"/>
      </w:r>
      <w:r>
        <w:instrText xml:space="preserve"> PAGEREF _Toc165045267 \h </w:instrText>
      </w:r>
      <w:r>
        <w:fldChar w:fldCharType="separate"/>
      </w:r>
      <w:r>
        <w:t>66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"_Toc165045268" </w:instrText>
      </w:r>
      <w:r>
        <w:fldChar w:fldCharType="separate"/>
      </w:r>
      <w:r>
        <w:rPr>
          <w:rStyle w:val="92"/>
          <w:color w:val="auto"/>
        </w:rPr>
        <w:t>表4-8 变压器监控表</w:t>
      </w:r>
      <w:r>
        <w:tab/>
      </w:r>
      <w:r>
        <w:fldChar w:fldCharType="begin"/>
      </w:r>
      <w:r>
        <w:instrText xml:space="preserve"> PAGEREF _Toc165045268 \h </w:instrText>
      </w:r>
      <w:r>
        <w:fldChar w:fldCharType="separate"/>
      </w:r>
      <w:r>
        <w:t>66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"_Toc165045269" </w:instrText>
      </w:r>
      <w:r>
        <w:fldChar w:fldCharType="separate"/>
      </w:r>
      <w:r>
        <w:rPr>
          <w:rStyle w:val="92"/>
          <w:color w:val="auto"/>
        </w:rPr>
        <w:t>表4-9 变压器和运行环境日常巡检表</w:t>
      </w:r>
      <w:r>
        <w:tab/>
      </w:r>
      <w:r>
        <w:fldChar w:fldCharType="begin"/>
      </w:r>
      <w:r>
        <w:instrText xml:space="preserve"> PAGEREF _Toc165045269 \h </w:instrText>
      </w:r>
      <w:r>
        <w:fldChar w:fldCharType="separate"/>
      </w:r>
      <w:r>
        <w:t>66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"_Toc165045270" </w:instrText>
      </w:r>
      <w:r>
        <w:fldChar w:fldCharType="separate"/>
      </w:r>
      <w:r>
        <w:rPr>
          <w:rStyle w:val="92"/>
          <w:color w:val="auto"/>
        </w:rPr>
        <w:t>表4-10 变压设备故障报警表</w:t>
      </w:r>
      <w:r>
        <w:tab/>
      </w:r>
      <w:r>
        <w:fldChar w:fldCharType="begin"/>
      </w:r>
      <w:r>
        <w:instrText xml:space="preserve"> PAGEREF _Toc165045270 \h </w:instrText>
      </w:r>
      <w:r>
        <w:fldChar w:fldCharType="separate"/>
      </w:r>
      <w:r>
        <w:t>67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"_Toc165045271" </w:instrText>
      </w:r>
      <w:r>
        <w:fldChar w:fldCharType="separate"/>
      </w:r>
      <w:r>
        <w:rPr>
          <w:rStyle w:val="92"/>
          <w:color w:val="auto"/>
        </w:rPr>
        <w:t>表4-11 低压配电设备监控表</w:t>
      </w:r>
      <w:r>
        <w:tab/>
      </w:r>
      <w:r>
        <w:fldChar w:fldCharType="begin"/>
      </w:r>
      <w:r>
        <w:instrText xml:space="preserve"> PAGEREF _Toc165045271 \h </w:instrText>
      </w:r>
      <w:r>
        <w:fldChar w:fldCharType="separate"/>
      </w:r>
      <w:r>
        <w:t>67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"_Toc165045272" </w:instrText>
      </w:r>
      <w:r>
        <w:fldChar w:fldCharType="separate"/>
      </w:r>
      <w:r>
        <w:rPr>
          <w:rStyle w:val="92"/>
          <w:color w:val="auto"/>
        </w:rPr>
        <w:t>表4-12 低压配电设备和运行环境巡检表</w:t>
      </w:r>
      <w:r>
        <w:tab/>
      </w:r>
      <w:r>
        <w:fldChar w:fldCharType="begin"/>
      </w:r>
      <w:r>
        <w:instrText xml:space="preserve"> PAGEREF _Toc165045272 \h </w:instrText>
      </w:r>
      <w:r>
        <w:fldChar w:fldCharType="separate"/>
      </w:r>
      <w:r>
        <w:t>67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"_Toc165045273" </w:instrText>
      </w:r>
      <w:r>
        <w:fldChar w:fldCharType="separate"/>
      </w:r>
      <w:r>
        <w:rPr>
          <w:rStyle w:val="92"/>
          <w:color w:val="auto"/>
        </w:rPr>
        <w:t>表4-13 低压配电设备故障报警表</w:t>
      </w:r>
      <w:r>
        <w:tab/>
      </w:r>
      <w:r>
        <w:fldChar w:fldCharType="begin"/>
      </w:r>
      <w:r>
        <w:instrText xml:space="preserve"> PAGEREF _Toc165045273 \h </w:instrText>
      </w:r>
      <w:r>
        <w:fldChar w:fldCharType="separate"/>
      </w:r>
      <w:r>
        <w:t>68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"_Toc165045274" </w:instrText>
      </w:r>
      <w:r>
        <w:fldChar w:fldCharType="separate"/>
      </w:r>
      <w:r>
        <w:rPr>
          <w:rStyle w:val="92"/>
          <w:color w:val="auto"/>
        </w:rPr>
        <w:t>表4-14 电池监控表</w:t>
      </w:r>
      <w:r>
        <w:tab/>
      </w:r>
      <w:r>
        <w:fldChar w:fldCharType="begin"/>
      </w:r>
      <w:r>
        <w:instrText xml:space="preserve"> PAGEREF _Toc165045274 \h </w:instrText>
      </w:r>
      <w:r>
        <w:fldChar w:fldCharType="separate"/>
      </w:r>
      <w:r>
        <w:t>68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"_Toc165045275" </w:instrText>
      </w:r>
      <w:r>
        <w:fldChar w:fldCharType="separate"/>
      </w:r>
      <w:r>
        <w:rPr>
          <w:rStyle w:val="92"/>
          <w:color w:val="auto"/>
        </w:rPr>
        <w:t>表4-15 蓄电池和运行环境巡检表</w:t>
      </w:r>
      <w:r>
        <w:tab/>
      </w:r>
      <w:r>
        <w:fldChar w:fldCharType="begin"/>
      </w:r>
      <w:r>
        <w:instrText xml:space="preserve"> PAGEREF _Toc165045275 \h </w:instrText>
      </w:r>
      <w:r>
        <w:fldChar w:fldCharType="separate"/>
      </w:r>
      <w:r>
        <w:t>68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"_Toc165045276" </w:instrText>
      </w:r>
      <w:r>
        <w:fldChar w:fldCharType="separate"/>
      </w:r>
      <w:r>
        <w:rPr>
          <w:rStyle w:val="92"/>
          <w:color w:val="auto"/>
        </w:rPr>
        <w:t>表4-16 防雷接地系统月检表</w:t>
      </w:r>
      <w:r>
        <w:tab/>
      </w:r>
      <w:r>
        <w:fldChar w:fldCharType="begin"/>
      </w:r>
      <w:r>
        <w:instrText xml:space="preserve"> PAGEREF _Toc165045276 \h </w:instrText>
      </w:r>
      <w:r>
        <w:fldChar w:fldCharType="separate"/>
      </w:r>
      <w:r>
        <w:t>69</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"_Toc165045277" </w:instrText>
      </w:r>
      <w:r>
        <w:fldChar w:fldCharType="separate"/>
      </w:r>
      <w:r>
        <w:rPr>
          <w:rStyle w:val="92"/>
          <w:color w:val="auto"/>
        </w:rPr>
        <w:t>表4-17 照明设备日常巡检表</w:t>
      </w:r>
      <w:r>
        <w:tab/>
      </w:r>
      <w:r>
        <w:fldChar w:fldCharType="begin"/>
      </w:r>
      <w:r>
        <w:instrText xml:space="preserve"> PAGEREF _Toc165045277 \h </w:instrText>
      </w:r>
      <w:r>
        <w:fldChar w:fldCharType="separate"/>
      </w:r>
      <w:r>
        <w:t>70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"_Toc165045278" </w:instrText>
      </w:r>
      <w:r>
        <w:fldChar w:fldCharType="separate"/>
      </w:r>
      <w:r>
        <w:rPr>
          <w:rStyle w:val="92"/>
          <w:color w:val="auto"/>
        </w:rPr>
        <w:t>表4-18 电缆、母线槽及运行环境巡检表</w:t>
      </w:r>
      <w:r>
        <w:tab/>
      </w:r>
      <w:r>
        <w:fldChar w:fldCharType="begin"/>
      </w:r>
      <w:r>
        <w:instrText xml:space="preserve"> PAGEREF _Toc165045278 \h </w:instrText>
      </w:r>
      <w:r>
        <w:fldChar w:fldCharType="separate"/>
      </w:r>
      <w:r>
        <w:t>70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"_Toc165045279" </w:instrText>
      </w:r>
      <w:r>
        <w:fldChar w:fldCharType="separate"/>
      </w:r>
      <w:r>
        <w:rPr>
          <w:rStyle w:val="92"/>
          <w:color w:val="auto"/>
        </w:rPr>
        <w:t>表4-19 制冷设备日常巡检表</w:t>
      </w:r>
      <w:r>
        <w:tab/>
      </w:r>
      <w:r>
        <w:fldChar w:fldCharType="begin"/>
      </w:r>
      <w:r>
        <w:instrText xml:space="preserve"> PAGEREF _Toc165045279 \h </w:instrText>
      </w:r>
      <w:r>
        <w:fldChar w:fldCharType="separate"/>
      </w:r>
      <w:r>
        <w:t>71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"_Toc165045280" </w:instrText>
      </w:r>
      <w:r>
        <w:fldChar w:fldCharType="separate"/>
      </w:r>
      <w:r>
        <w:rPr>
          <w:rStyle w:val="92"/>
          <w:color w:val="auto"/>
        </w:rPr>
        <w:t>表4-20 机房空调日常巡检表</w:t>
      </w:r>
      <w:r>
        <w:tab/>
      </w:r>
      <w:r>
        <w:fldChar w:fldCharType="begin"/>
      </w:r>
      <w:r>
        <w:instrText xml:space="preserve"> PAGEREF _Toc165045280 \h </w:instrText>
      </w:r>
      <w:r>
        <w:fldChar w:fldCharType="separate"/>
      </w:r>
      <w:r>
        <w:t>72</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"_Toc165045281" </w:instrText>
      </w:r>
      <w:r>
        <w:fldChar w:fldCharType="separate"/>
      </w:r>
      <w:r>
        <w:rPr>
          <w:rStyle w:val="92"/>
          <w:color w:val="auto"/>
        </w:rPr>
        <w:t>表4-21 冷却塔日常巡检表</w:t>
      </w:r>
      <w:r>
        <w:tab/>
      </w:r>
      <w:r>
        <w:fldChar w:fldCharType="begin"/>
      </w:r>
      <w:r>
        <w:instrText xml:space="preserve"> PAGEREF _Toc165045281 \h </w:instrText>
      </w:r>
      <w:r>
        <w:fldChar w:fldCharType="separate"/>
      </w:r>
      <w:r>
        <w:t>72</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"_Toc165045282" </w:instrText>
      </w:r>
      <w:r>
        <w:fldChar w:fldCharType="separate"/>
      </w:r>
      <w:r>
        <w:rPr>
          <w:rStyle w:val="92"/>
          <w:color w:val="auto"/>
        </w:rPr>
        <w:t>表4-22 水泵日常巡检表</w:t>
      </w:r>
      <w:r>
        <w:tab/>
      </w:r>
      <w:r>
        <w:fldChar w:fldCharType="begin"/>
      </w:r>
      <w:r>
        <w:instrText xml:space="preserve"> PAGEREF _Toc165045282 \h </w:instrText>
      </w:r>
      <w:r>
        <w:fldChar w:fldCharType="separate"/>
      </w:r>
      <w:r>
        <w:t>73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"_Toc165045283" </w:instrText>
      </w:r>
      <w:r>
        <w:fldChar w:fldCharType="separate"/>
      </w:r>
      <w:r>
        <w:rPr>
          <w:rStyle w:val="92"/>
          <w:color w:val="auto"/>
        </w:rPr>
        <w:t>表4-23 水箱/阀门附件/管道巡检表</w:t>
      </w:r>
      <w:r>
        <w:tab/>
      </w:r>
      <w:r>
        <w:fldChar w:fldCharType="begin"/>
      </w:r>
      <w:r>
        <w:instrText xml:space="preserve"> PAGEREF _Toc165045283 \h </w:instrText>
      </w:r>
      <w:r>
        <w:fldChar w:fldCharType="separate"/>
      </w:r>
      <w:r>
        <w:t>73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"_Toc165045284" </w:instrText>
      </w:r>
      <w:r>
        <w:fldChar w:fldCharType="separate"/>
      </w:r>
      <w:r>
        <w:rPr>
          <w:rStyle w:val="92"/>
          <w:color w:val="auto"/>
        </w:rPr>
        <w:t>表4-24 空调系统风机日常巡检表</w:t>
      </w:r>
      <w:r>
        <w:tab/>
      </w:r>
      <w:r>
        <w:fldChar w:fldCharType="begin"/>
      </w:r>
      <w:r>
        <w:instrText xml:space="preserve"> PAGEREF _Toc165045284 \h </w:instrText>
      </w:r>
      <w:r>
        <w:fldChar w:fldCharType="separate"/>
      </w:r>
      <w:r>
        <w:t>73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"_Toc165045285" </w:instrText>
      </w:r>
      <w:r>
        <w:fldChar w:fldCharType="separate"/>
      </w:r>
      <w:r>
        <w:rPr>
          <w:rStyle w:val="92"/>
          <w:color w:val="auto"/>
        </w:rPr>
        <w:t>表4-25 高压配电设备例行维护表</w:t>
      </w:r>
      <w:r>
        <w:tab/>
      </w:r>
      <w:r>
        <w:fldChar w:fldCharType="begin"/>
      </w:r>
      <w:r>
        <w:instrText xml:space="preserve"> PAGEREF _Toc165045285 \h </w:instrText>
      </w:r>
      <w:r>
        <w:fldChar w:fldCharType="separate"/>
      </w:r>
      <w:r>
        <w:t>75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"_Toc165045286" </w:instrText>
      </w:r>
      <w:r>
        <w:fldChar w:fldCharType="separate"/>
      </w:r>
      <w:r>
        <w:rPr>
          <w:rStyle w:val="92"/>
          <w:color w:val="auto"/>
        </w:rPr>
        <w:t>表4-26 高压配电设备预防性维护表</w:t>
      </w:r>
      <w:r>
        <w:tab/>
      </w:r>
      <w:r>
        <w:fldChar w:fldCharType="begin"/>
      </w:r>
      <w:r>
        <w:instrText xml:space="preserve"> PAGEREF _Toc165045286 \h </w:instrText>
      </w:r>
      <w:r>
        <w:fldChar w:fldCharType="separate"/>
      </w:r>
      <w:r>
        <w:t>75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"_Toc165045287" </w:instrText>
      </w:r>
      <w:r>
        <w:fldChar w:fldCharType="separate"/>
      </w:r>
      <w:r>
        <w:rPr>
          <w:rStyle w:val="92"/>
          <w:color w:val="auto"/>
        </w:rPr>
        <w:t>表4-27 高压配电设备厂家级预防性维护表</w:t>
      </w:r>
      <w:r>
        <w:tab/>
      </w:r>
      <w:r>
        <w:fldChar w:fldCharType="begin"/>
      </w:r>
      <w:r>
        <w:instrText xml:space="preserve"> PAGEREF _Toc165045287 \h </w:instrText>
      </w:r>
      <w:r>
        <w:fldChar w:fldCharType="separate"/>
      </w:r>
      <w:r>
        <w:t>76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"_Toc165045288" </w:instrText>
      </w:r>
      <w:r>
        <w:fldChar w:fldCharType="separate"/>
      </w:r>
      <w:r>
        <w:rPr>
          <w:rStyle w:val="92"/>
          <w:color w:val="auto"/>
        </w:rPr>
        <w:t>表4-28 电力变压器预防性维护表</w:t>
      </w:r>
      <w:r>
        <w:tab/>
      </w:r>
      <w:r>
        <w:fldChar w:fldCharType="begin"/>
      </w:r>
      <w:r>
        <w:instrText xml:space="preserve"> PAGEREF _Toc165045288 \h </w:instrText>
      </w:r>
      <w:r>
        <w:fldChar w:fldCharType="separate"/>
      </w:r>
      <w:r>
        <w:t>77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"_Toc165045289" </w:instrText>
      </w:r>
      <w:r>
        <w:fldChar w:fldCharType="separate"/>
      </w:r>
      <w:r>
        <w:rPr>
          <w:rStyle w:val="92"/>
          <w:color w:val="auto"/>
        </w:rPr>
        <w:t>表4-29 电力变压器厂家级预防性维护表</w:t>
      </w:r>
      <w:r>
        <w:tab/>
      </w:r>
      <w:r>
        <w:fldChar w:fldCharType="begin"/>
      </w:r>
      <w:r>
        <w:instrText xml:space="preserve"> PAGEREF _Toc165045289 \h </w:instrText>
      </w:r>
      <w:r>
        <w:fldChar w:fldCharType="separate"/>
      </w:r>
      <w:r>
        <w:t>78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"_Toc165045290" </w:instrText>
      </w:r>
      <w:r>
        <w:fldChar w:fldCharType="separate"/>
      </w:r>
      <w:r>
        <w:rPr>
          <w:rStyle w:val="92"/>
          <w:color w:val="auto"/>
        </w:rPr>
        <w:t>表4-30 低压配电设备例行性维护表</w:t>
      </w:r>
      <w:r>
        <w:tab/>
      </w:r>
      <w:r>
        <w:fldChar w:fldCharType="begin"/>
      </w:r>
      <w:r>
        <w:instrText xml:space="preserve"> PAGEREF _Toc165045290 \h </w:instrText>
      </w:r>
      <w:r>
        <w:fldChar w:fldCharType="separate"/>
      </w:r>
      <w:r>
        <w:t>78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"_Toc165045291" </w:instrText>
      </w:r>
      <w:r>
        <w:fldChar w:fldCharType="separate"/>
      </w:r>
      <w:r>
        <w:rPr>
          <w:rStyle w:val="92"/>
          <w:color w:val="auto"/>
        </w:rPr>
        <w:t>表4-31 低压配电设备预防性维护表</w:t>
      </w:r>
      <w:r>
        <w:tab/>
      </w:r>
      <w:r>
        <w:fldChar w:fldCharType="begin"/>
      </w:r>
      <w:r>
        <w:instrText xml:space="preserve"> PAGEREF _Toc165045291 \h </w:instrText>
      </w:r>
      <w:r>
        <w:fldChar w:fldCharType="separate"/>
      </w:r>
      <w:r>
        <w:t>78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"_Toc165045292" </w:instrText>
      </w:r>
      <w:r>
        <w:fldChar w:fldCharType="separate"/>
      </w:r>
      <w:r>
        <w:rPr>
          <w:rStyle w:val="92"/>
          <w:color w:val="auto"/>
        </w:rPr>
        <w:t>表4-32 不间断电源UPS例行维护表</w:t>
      </w:r>
      <w:r>
        <w:tab/>
      </w:r>
      <w:r>
        <w:fldChar w:fldCharType="begin"/>
      </w:r>
      <w:r>
        <w:instrText xml:space="preserve"> PAGEREF _Toc165045292 \h </w:instrText>
      </w:r>
      <w:r>
        <w:fldChar w:fldCharType="separate"/>
      </w:r>
      <w:r>
        <w:t>80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"_Toc165045293" </w:instrText>
      </w:r>
      <w:r>
        <w:fldChar w:fldCharType="separate"/>
      </w:r>
      <w:r>
        <w:rPr>
          <w:rStyle w:val="92"/>
          <w:color w:val="auto"/>
        </w:rPr>
        <w:t>表4-33 不间断电源UPS预防性维护表</w:t>
      </w:r>
      <w:r>
        <w:tab/>
      </w:r>
      <w:r>
        <w:fldChar w:fldCharType="begin"/>
      </w:r>
      <w:r>
        <w:instrText xml:space="preserve"> PAGEREF _Toc165045293 \h </w:instrText>
      </w:r>
      <w:r>
        <w:fldChar w:fldCharType="separate"/>
      </w:r>
      <w:r>
        <w:t>80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"_Toc165045294" </w:instrText>
      </w:r>
      <w:r>
        <w:fldChar w:fldCharType="separate"/>
      </w:r>
      <w:r>
        <w:rPr>
          <w:rStyle w:val="92"/>
          <w:color w:val="auto"/>
        </w:rPr>
        <w:t>表4-34 电池例行维护表</w:t>
      </w:r>
      <w:r>
        <w:tab/>
      </w:r>
      <w:r>
        <w:fldChar w:fldCharType="begin"/>
      </w:r>
      <w:r>
        <w:instrText xml:space="preserve"> PAGEREF _Toc165045294 \h </w:instrText>
      </w:r>
      <w:r>
        <w:fldChar w:fldCharType="separate"/>
      </w:r>
      <w:r>
        <w:t>81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"_Toc165045295" </w:instrText>
      </w:r>
      <w:r>
        <w:fldChar w:fldCharType="separate"/>
      </w:r>
      <w:r>
        <w:rPr>
          <w:rStyle w:val="92"/>
          <w:color w:val="auto"/>
        </w:rPr>
        <w:t>表4-35 电池预防性维护表</w:t>
      </w:r>
      <w:r>
        <w:tab/>
      </w:r>
      <w:r>
        <w:fldChar w:fldCharType="begin"/>
      </w:r>
      <w:r>
        <w:instrText xml:space="preserve"> PAGEREF _Toc165045295 \h </w:instrText>
      </w:r>
      <w:r>
        <w:fldChar w:fldCharType="separate"/>
      </w:r>
      <w:r>
        <w:t>81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"_Toc165045296" </w:instrText>
      </w:r>
      <w:r>
        <w:fldChar w:fldCharType="separate"/>
      </w:r>
      <w:r>
        <w:rPr>
          <w:rStyle w:val="92"/>
          <w:color w:val="auto"/>
        </w:rPr>
        <w:t>表4-36 高压电缆与母线槽例行维护表</w:t>
      </w:r>
      <w:r>
        <w:tab/>
      </w:r>
      <w:r>
        <w:fldChar w:fldCharType="begin"/>
      </w:r>
      <w:r>
        <w:instrText xml:space="preserve"> PAGEREF _Toc165045296 \h </w:instrText>
      </w:r>
      <w:r>
        <w:fldChar w:fldCharType="separate"/>
      </w:r>
      <w:r>
        <w:t>82</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"_Toc165045297" </w:instrText>
      </w:r>
      <w:r>
        <w:fldChar w:fldCharType="separate"/>
      </w:r>
      <w:r>
        <w:rPr>
          <w:rStyle w:val="92"/>
          <w:color w:val="auto"/>
        </w:rPr>
        <w:t>表4-37 高压电缆与母线槽预防性维护表</w:t>
      </w:r>
      <w:r>
        <w:tab/>
      </w:r>
      <w:r>
        <w:fldChar w:fldCharType="begin"/>
      </w:r>
      <w:r>
        <w:instrText xml:space="preserve"> PAGEREF _Toc165045297 \h </w:instrText>
      </w:r>
      <w:r>
        <w:fldChar w:fldCharType="separate"/>
      </w:r>
      <w:r>
        <w:t>82</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"_Toc165045298" </w:instrText>
      </w:r>
      <w:r>
        <w:fldChar w:fldCharType="separate"/>
      </w:r>
      <w:r>
        <w:rPr>
          <w:rStyle w:val="92"/>
          <w:color w:val="auto"/>
        </w:rPr>
        <w:t>表4-38 空调应急场景</w:t>
      </w:r>
      <w:r>
        <w:tab/>
      </w:r>
      <w:r>
        <w:fldChar w:fldCharType="begin"/>
      </w:r>
      <w:r>
        <w:instrText xml:space="preserve"> PAGEREF _Toc165045298 \h </w:instrText>
      </w:r>
      <w:r>
        <w:fldChar w:fldCharType="separate"/>
      </w:r>
      <w:r>
        <w:t>83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"_Toc165045299" </w:instrText>
      </w:r>
      <w:r>
        <w:fldChar w:fldCharType="separate"/>
      </w:r>
      <w:r>
        <w:rPr>
          <w:rStyle w:val="92"/>
          <w:color w:val="auto"/>
        </w:rPr>
        <w:t>表4-39 制冷主机周/月例行维护表</w:t>
      </w:r>
      <w:r>
        <w:tab/>
      </w:r>
      <w:r>
        <w:fldChar w:fldCharType="begin"/>
      </w:r>
      <w:r>
        <w:instrText xml:space="preserve"> PAGEREF _Toc165045299 \h </w:instrText>
      </w:r>
      <w:r>
        <w:fldChar w:fldCharType="separate"/>
      </w:r>
      <w:r>
        <w:t>83</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"_Toc165045300" </w:instrText>
      </w:r>
      <w:r>
        <w:fldChar w:fldCharType="separate"/>
      </w:r>
      <w:r>
        <w:rPr>
          <w:rStyle w:val="92"/>
          <w:color w:val="auto"/>
        </w:rPr>
        <w:t>表4-40 制冷主机季/年预防性维护表</w:t>
      </w:r>
      <w:r>
        <w:tab/>
      </w:r>
      <w:r>
        <w:fldChar w:fldCharType="begin"/>
      </w:r>
      <w:r>
        <w:instrText xml:space="preserve"> PAGEREF _Toc165045300 \h </w:instrText>
      </w:r>
      <w:r>
        <w:fldChar w:fldCharType="separate"/>
      </w:r>
      <w:r>
        <w:t>84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"_Toc165045301" </w:instrText>
      </w:r>
      <w:r>
        <w:fldChar w:fldCharType="separate"/>
      </w:r>
      <w:r>
        <w:rPr>
          <w:rStyle w:val="92"/>
          <w:color w:val="auto"/>
        </w:rPr>
        <w:t>表4-41 冷却塔周/月例行维护表</w:t>
      </w:r>
      <w:r>
        <w:tab/>
      </w:r>
      <w:r>
        <w:fldChar w:fldCharType="begin"/>
      </w:r>
      <w:r>
        <w:instrText xml:space="preserve"> PAGEREF _Toc165045301 \h </w:instrText>
      </w:r>
      <w:r>
        <w:fldChar w:fldCharType="separate"/>
      </w:r>
      <w:r>
        <w:t>84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"_Toc165045302" </w:instrText>
      </w:r>
      <w:r>
        <w:fldChar w:fldCharType="separate"/>
      </w:r>
      <w:r>
        <w:rPr>
          <w:rStyle w:val="92"/>
          <w:color w:val="auto"/>
        </w:rPr>
        <w:t>表4-42 冷却塔季/年预防性维护表</w:t>
      </w:r>
      <w:r>
        <w:tab/>
      </w:r>
      <w:r>
        <w:fldChar w:fldCharType="begin"/>
      </w:r>
      <w:r>
        <w:instrText xml:space="preserve"> PAGEREF _Toc165045302 \h </w:instrText>
      </w:r>
      <w:r>
        <w:fldChar w:fldCharType="separate"/>
      </w:r>
      <w:r>
        <w:t>85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"_Toc165045303" </w:instrText>
      </w:r>
      <w:r>
        <w:fldChar w:fldCharType="separate"/>
      </w:r>
      <w:r>
        <w:rPr>
          <w:rStyle w:val="92"/>
          <w:color w:val="auto"/>
        </w:rPr>
        <w:t>表4-43 空调水系统周/月例行维护表</w:t>
      </w:r>
      <w:r>
        <w:tab/>
      </w:r>
      <w:r>
        <w:fldChar w:fldCharType="begin"/>
      </w:r>
      <w:r>
        <w:instrText xml:space="preserve"> PAGEREF _Toc165045303 \h </w:instrText>
      </w:r>
      <w:r>
        <w:fldChar w:fldCharType="separate"/>
      </w:r>
      <w:r>
        <w:t>85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"_Toc165045304" </w:instrText>
      </w:r>
      <w:r>
        <w:fldChar w:fldCharType="separate"/>
      </w:r>
      <w:r>
        <w:rPr>
          <w:rStyle w:val="92"/>
          <w:color w:val="auto"/>
        </w:rPr>
        <w:t>表4-44 空调水系统季/年预防性维护表</w:t>
      </w:r>
      <w:r>
        <w:tab/>
      </w:r>
      <w:r>
        <w:fldChar w:fldCharType="begin"/>
      </w:r>
      <w:r>
        <w:instrText xml:space="preserve"> PAGEREF _Toc165045304 \h </w:instrText>
      </w:r>
      <w:r>
        <w:fldChar w:fldCharType="separate"/>
      </w:r>
      <w:r>
        <w:t>85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"_Toc165045305" </w:instrText>
      </w:r>
      <w:r>
        <w:fldChar w:fldCharType="separate"/>
      </w:r>
      <w:r>
        <w:rPr>
          <w:rStyle w:val="92"/>
          <w:color w:val="auto"/>
        </w:rPr>
        <w:t>表4-45 空调风系统季/年预防性维护表</w:t>
      </w:r>
      <w:r>
        <w:tab/>
      </w:r>
      <w:r>
        <w:fldChar w:fldCharType="begin"/>
      </w:r>
      <w:r>
        <w:instrText xml:space="preserve"> PAGEREF _Toc165045305 \h </w:instrText>
      </w:r>
      <w:r>
        <w:fldChar w:fldCharType="separate"/>
      </w:r>
      <w:r>
        <w:t>86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"_Toc165045306" </w:instrText>
      </w:r>
      <w:r>
        <w:fldChar w:fldCharType="separate"/>
      </w:r>
      <w:r>
        <w:rPr>
          <w:rStyle w:val="92"/>
          <w:color w:val="auto"/>
        </w:rPr>
        <w:t>表4-46 精密空调系统周/月例行维护表</w:t>
      </w:r>
      <w:r>
        <w:tab/>
      </w:r>
      <w:r>
        <w:fldChar w:fldCharType="begin"/>
      </w:r>
      <w:r>
        <w:instrText xml:space="preserve"> PAGEREF _Toc165045306 \h </w:instrText>
      </w:r>
      <w:r>
        <w:fldChar w:fldCharType="separate"/>
      </w:r>
      <w:r>
        <w:t>87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"_Toc165045307" </w:instrText>
      </w:r>
      <w:r>
        <w:fldChar w:fldCharType="separate"/>
      </w:r>
      <w:r>
        <w:rPr>
          <w:rStyle w:val="92"/>
          <w:color w:val="auto"/>
        </w:rPr>
        <w:t>表4-47 精密空调系统季/年预防性维护表</w:t>
      </w:r>
      <w:r>
        <w:tab/>
      </w:r>
      <w:r>
        <w:fldChar w:fldCharType="begin"/>
      </w:r>
      <w:r>
        <w:instrText xml:space="preserve"> PAGEREF _Toc165045307 \h </w:instrText>
      </w:r>
      <w:r>
        <w:fldChar w:fldCharType="separate"/>
      </w:r>
      <w:r>
        <w:t>88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"_Toc165045308" </w:instrText>
      </w:r>
      <w:r>
        <w:fldChar w:fldCharType="separate"/>
      </w:r>
      <w:r>
        <w:rPr>
          <w:rStyle w:val="92"/>
          <w:color w:val="auto"/>
        </w:rPr>
        <w:t>表4-48 空调系统电动机季/年防性维护表</w:t>
      </w:r>
      <w:r>
        <w:tab/>
      </w:r>
      <w:r>
        <w:fldChar w:fldCharType="begin"/>
      </w:r>
      <w:r>
        <w:instrText xml:space="preserve"> PAGEREF _Toc165045308 \h </w:instrText>
      </w:r>
      <w:r>
        <w:fldChar w:fldCharType="separate"/>
      </w:r>
      <w:r>
        <w:t>89</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"_Toc165045309" </w:instrText>
      </w:r>
      <w:r>
        <w:fldChar w:fldCharType="separate"/>
      </w:r>
      <w:r>
        <w:rPr>
          <w:rStyle w:val="92"/>
          <w:color w:val="auto"/>
        </w:rPr>
        <w:t>表4-49 (品目2-1)机柜维修维护服务</w:t>
      </w:r>
      <w:r>
        <w:tab/>
      </w:r>
      <w:r>
        <w:fldChar w:fldCharType="begin"/>
      </w:r>
      <w:r>
        <w:instrText xml:space="preserve"> PAGEREF _Toc165045309 \h </w:instrText>
      </w:r>
      <w:r>
        <w:fldChar w:fldCharType="separate"/>
      </w:r>
      <w:r>
        <w:t>96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"_Toc165045310" </w:instrText>
      </w:r>
      <w:r>
        <w:fldChar w:fldCharType="separate"/>
      </w:r>
      <w:r>
        <w:rPr>
          <w:rStyle w:val="92"/>
          <w:color w:val="auto"/>
        </w:rPr>
        <w:t>表4-50 (品目2-2)通风空调系统设备维修维护服务</w:t>
      </w:r>
      <w:r>
        <w:tab/>
      </w:r>
      <w:r>
        <w:fldChar w:fldCharType="begin"/>
      </w:r>
      <w:r>
        <w:instrText xml:space="preserve"> PAGEREF _Toc165045310 \h </w:instrText>
      </w:r>
      <w:r>
        <w:fldChar w:fldCharType="separate"/>
      </w:r>
      <w:r>
        <w:t>96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"_Toc165045311" </w:instrText>
      </w:r>
      <w:r>
        <w:fldChar w:fldCharType="separate"/>
      </w:r>
      <w:r>
        <w:rPr>
          <w:rStyle w:val="92"/>
          <w:color w:val="auto"/>
        </w:rPr>
        <w:t>表4-51 (品目2-3)电气系统设备维修维护服务</w:t>
      </w:r>
      <w:r>
        <w:tab/>
      </w:r>
      <w:r>
        <w:fldChar w:fldCharType="begin"/>
      </w:r>
      <w:r>
        <w:instrText xml:space="preserve"> PAGEREF _Toc165045311 \h </w:instrText>
      </w:r>
      <w:r>
        <w:fldChar w:fldCharType="separate"/>
      </w:r>
      <w:r>
        <w:t>97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"_Toc165045312" </w:instrText>
      </w:r>
      <w:r>
        <w:fldChar w:fldCharType="separate"/>
      </w:r>
      <w:r>
        <w:rPr>
          <w:rStyle w:val="92"/>
          <w:color w:val="auto"/>
        </w:rPr>
        <w:t>表4-52 (品目2-4)智能化系统维修维护服务</w:t>
      </w:r>
      <w:r>
        <w:tab/>
      </w:r>
      <w:r>
        <w:fldChar w:fldCharType="begin"/>
      </w:r>
      <w:r>
        <w:instrText xml:space="preserve"> PAGEREF _Toc165045312 \h </w:instrText>
      </w:r>
      <w:r>
        <w:fldChar w:fldCharType="separate"/>
      </w:r>
      <w:r>
        <w:t>105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"_Toc165045313" </w:instrText>
      </w:r>
      <w:r>
        <w:fldChar w:fldCharType="separate"/>
      </w:r>
      <w:r>
        <w:rPr>
          <w:rStyle w:val="92"/>
          <w:rFonts w:cs="Arial"/>
          <w:color w:val="auto"/>
        </w:rPr>
        <w:t>表4-53</w:t>
      </w:r>
      <w:r>
        <w:rPr>
          <w:rStyle w:val="92"/>
          <w:color w:val="auto"/>
        </w:rPr>
        <w:t xml:space="preserve"> (品目2-5)消防系统维修维护服务</w:t>
      </w:r>
      <w:r>
        <w:tab/>
      </w:r>
      <w:r>
        <w:fldChar w:fldCharType="begin"/>
      </w:r>
      <w:r>
        <w:instrText xml:space="preserve"> PAGEREF _Toc165045313 \h </w:instrText>
      </w:r>
      <w:r>
        <w:fldChar w:fldCharType="separate"/>
      </w:r>
      <w:r>
        <w:t>105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"_Toc165045314" </w:instrText>
      </w:r>
      <w:r>
        <w:fldChar w:fldCharType="separate"/>
      </w:r>
      <w:r>
        <w:rPr>
          <w:rStyle w:val="92"/>
          <w:color w:val="auto"/>
        </w:rPr>
        <w:t>表4-54 (品目2-6)防雷检测服务</w:t>
      </w:r>
      <w:r>
        <w:tab/>
      </w:r>
      <w:r>
        <w:fldChar w:fldCharType="begin"/>
      </w:r>
      <w:r>
        <w:instrText xml:space="preserve"> PAGEREF _Toc165045314 \h </w:instrText>
      </w:r>
      <w:r>
        <w:fldChar w:fldCharType="separate"/>
      </w:r>
      <w:r>
        <w:t>108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"_Toc165045315" </w:instrText>
      </w:r>
      <w:r>
        <w:fldChar w:fldCharType="separate"/>
      </w:r>
      <w:r>
        <w:rPr>
          <w:rStyle w:val="92"/>
          <w:color w:val="auto"/>
        </w:rPr>
        <w:t>表4-55 (品目2-7)消防检测服务</w:t>
      </w:r>
      <w:r>
        <w:tab/>
      </w:r>
      <w:r>
        <w:fldChar w:fldCharType="begin"/>
      </w:r>
      <w:r>
        <w:instrText xml:space="preserve"> PAGEREF _Toc165045315 \h </w:instrText>
      </w:r>
      <w:r>
        <w:fldChar w:fldCharType="separate"/>
      </w:r>
      <w:r>
        <w:t>110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"_Toc165045316" </w:instrText>
      </w:r>
      <w:r>
        <w:fldChar w:fldCharType="separate"/>
      </w:r>
      <w:r>
        <w:rPr>
          <w:rStyle w:val="92"/>
          <w:color w:val="auto"/>
        </w:rPr>
        <w:t>表4-56 (品目2-8)安全测评服务</w:t>
      </w:r>
      <w:r>
        <w:tab/>
      </w:r>
      <w:r>
        <w:fldChar w:fldCharType="begin"/>
      </w:r>
      <w:r>
        <w:instrText xml:space="preserve"> PAGEREF _Toc165045316 \h </w:instrText>
      </w:r>
      <w:r>
        <w:fldChar w:fldCharType="separate"/>
      </w:r>
      <w:r>
        <w:t>117</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"_Toc165045317" </w:instrText>
      </w:r>
      <w:r>
        <w:fldChar w:fldCharType="separate"/>
      </w:r>
      <w:r>
        <w:rPr>
          <w:rStyle w:val="92"/>
          <w:color w:val="auto"/>
        </w:rPr>
        <w:t>表4-57 (品目2-9)硬件设施改造提升服务</w:t>
      </w:r>
      <w:r>
        <w:tab/>
      </w:r>
      <w:r>
        <w:fldChar w:fldCharType="begin"/>
      </w:r>
      <w:r>
        <w:instrText xml:space="preserve"> PAGEREF _Toc165045317 \h </w:instrText>
      </w:r>
      <w:r>
        <w:fldChar w:fldCharType="separate"/>
      </w:r>
      <w:r>
        <w:t>118</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"_Toc165045318" </w:instrText>
      </w:r>
      <w:r>
        <w:fldChar w:fldCharType="separate"/>
      </w:r>
      <w:r>
        <w:rPr>
          <w:rStyle w:val="92"/>
          <w:color w:val="auto"/>
        </w:rPr>
        <w:t>表4-58 (品目2-10)运维系统优化提升服务</w:t>
      </w:r>
      <w:r>
        <w:tab/>
      </w:r>
      <w:r>
        <w:fldChar w:fldCharType="begin"/>
      </w:r>
      <w:r>
        <w:instrText xml:space="preserve"> PAGEREF _Toc165045318 \h </w:instrText>
      </w:r>
      <w:r>
        <w:fldChar w:fldCharType="separate"/>
      </w:r>
      <w:r>
        <w:t>119</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"_Toc165045319" </w:instrText>
      </w:r>
      <w:r>
        <w:fldChar w:fldCharType="separate"/>
      </w:r>
      <w:r>
        <w:rPr>
          <w:rStyle w:val="92"/>
          <w:color w:val="auto"/>
        </w:rPr>
        <w:t>表4-59 (品目2-11) 综合管理能力提升服务</w:t>
      </w:r>
      <w:r>
        <w:tab/>
      </w:r>
      <w:r>
        <w:fldChar w:fldCharType="begin"/>
      </w:r>
      <w:r>
        <w:instrText xml:space="preserve"> PAGEREF _Toc165045319 \h </w:instrText>
      </w:r>
      <w:r>
        <w:fldChar w:fldCharType="separate"/>
      </w:r>
      <w:r>
        <w:t>119</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"_Toc165045320" </w:instrText>
      </w:r>
      <w:r>
        <w:fldChar w:fldCharType="separate"/>
      </w:r>
      <w:r>
        <w:rPr>
          <w:rStyle w:val="92"/>
          <w:color w:val="auto"/>
        </w:rPr>
        <w:t>表4-60 (品目2-12)备品备件及耗材服务</w:t>
      </w:r>
      <w:r>
        <w:tab/>
      </w:r>
      <w:r>
        <w:fldChar w:fldCharType="begin"/>
      </w:r>
      <w:r>
        <w:instrText xml:space="preserve"> PAGEREF _Toc165045320 \h </w:instrText>
      </w:r>
      <w:r>
        <w:fldChar w:fldCharType="separate"/>
      </w:r>
      <w:r>
        <w:t>120</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"_Toc165045321" </w:instrText>
      </w:r>
      <w:r>
        <w:fldChar w:fldCharType="separate"/>
      </w:r>
      <w:r>
        <w:rPr>
          <w:rStyle w:val="92"/>
          <w:color w:val="auto"/>
        </w:rPr>
        <w:t>表5-1 日常考核评分表</w:t>
      </w:r>
      <w:r>
        <w:tab/>
      </w:r>
      <w:r>
        <w:fldChar w:fldCharType="begin"/>
      </w:r>
      <w:r>
        <w:instrText xml:space="preserve"> PAGEREF _Toc165045321 \h </w:instrText>
      </w:r>
      <w:r>
        <w:fldChar w:fldCharType="separate"/>
      </w:r>
      <w:r>
        <w:t>124</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"_Toc165045322" </w:instrText>
      </w:r>
      <w:r>
        <w:fldChar w:fldCharType="separate"/>
      </w:r>
      <w:r>
        <w:rPr>
          <w:rStyle w:val="92"/>
          <w:color w:val="auto"/>
        </w:rPr>
        <w:t>表5-2 服务考核分付费标准</w:t>
      </w:r>
      <w:r>
        <w:tab/>
      </w:r>
      <w:r>
        <w:fldChar w:fldCharType="begin"/>
      </w:r>
      <w:r>
        <w:instrText xml:space="preserve"> PAGEREF _Toc165045322 \h </w:instrText>
      </w:r>
      <w:r>
        <w:fldChar w:fldCharType="separate"/>
      </w:r>
      <w:r>
        <w:t>135</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"_Toc165045323" </w:instrText>
      </w:r>
      <w:r>
        <w:fldChar w:fldCharType="separate"/>
      </w:r>
      <w:r>
        <w:rPr>
          <w:rStyle w:val="92"/>
          <w:color w:val="auto"/>
        </w:rPr>
        <w:t>表5-3 维护计划表</w:t>
      </w:r>
      <w:r>
        <w:tab/>
      </w:r>
      <w:r>
        <w:fldChar w:fldCharType="begin"/>
      </w:r>
      <w:r>
        <w:instrText xml:space="preserve"> PAGEREF _Toc165045323 \h </w:instrText>
      </w:r>
      <w:r>
        <w:fldChar w:fldCharType="separate"/>
      </w:r>
      <w:r>
        <w:t>136</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"_Toc165045324" </w:instrText>
      </w:r>
      <w:r>
        <w:fldChar w:fldCharType="separate"/>
      </w:r>
      <w:r>
        <w:rPr>
          <w:rStyle w:val="92"/>
          <w:color w:val="auto"/>
        </w:rPr>
        <w:t>表5-4 实施进度表</w:t>
      </w:r>
      <w:r>
        <w:tab/>
      </w:r>
      <w:r>
        <w:fldChar w:fldCharType="begin"/>
      </w:r>
      <w:r>
        <w:instrText xml:space="preserve"> PAGEREF _Toc165045324 \h </w:instrText>
      </w:r>
      <w:r>
        <w:fldChar w:fldCharType="separate"/>
      </w:r>
      <w:r>
        <w:t>141</w:t>
      </w:r>
      <w:r>
        <w:fldChar w:fldCharType="end"/>
      </w:r>
      <w:r>
        <w:fldChar w:fldCharType="end"/>
      </w:r>
    </w:p>
    <w:p>
      <w:pPr>
        <w:pStyle w:val="63"/>
        <w:tabs>
          <w:tab w:val="right" w:leader="dot" w:pos="9061"/>
        </w:tabs>
        <w:ind w:left="960" w:hanging="480"/>
        <w:rPr>
          <w:rFonts w:asciiTheme="minorHAnsi" w:hAnsiTheme="minorHAnsi" w:eastAsiaTheme="minorEastAsia" w:cstheme="minorBidi"/>
          <w:sz w:val="21"/>
          <w:szCs w:val="22"/>
          <w14:ligatures w14:val="standardContextual"/>
        </w:rPr>
      </w:pPr>
      <w:r>
        <w:fldChar w:fldCharType="begin"/>
      </w:r>
      <w:r>
        <w:instrText xml:space="preserve"> HYPERLINK \l "_Toc165045325" </w:instrText>
      </w:r>
      <w:r>
        <w:fldChar w:fldCharType="separate"/>
      </w:r>
      <w:r>
        <w:rPr>
          <w:rStyle w:val="92"/>
          <w:color w:val="auto"/>
        </w:rPr>
        <w:t>表6-1 培训内容</w:t>
      </w:r>
      <w:r>
        <w:tab/>
      </w:r>
      <w:r>
        <w:fldChar w:fldCharType="begin"/>
      </w:r>
      <w:r>
        <w:instrText xml:space="preserve"> PAGEREF _Toc165045325 \h </w:instrText>
      </w:r>
      <w:r>
        <w:fldChar w:fldCharType="separate"/>
      </w:r>
      <w:r>
        <w:t>145</w:t>
      </w:r>
      <w:r>
        <w:fldChar w:fldCharType="end"/>
      </w:r>
      <w:r>
        <w:fldChar w:fldCharType="end"/>
      </w:r>
    </w:p>
    <w:p>
      <w:pPr>
        <w:pStyle w:val="63"/>
        <w:tabs>
          <w:tab w:val="right" w:leader="dot" w:pos="9061"/>
        </w:tabs>
        <w:ind w:left="0" w:leftChars="0" w:firstLine="0" w:firstLineChars="0"/>
        <w:rPr>
          <w:rFonts w:ascii="Arial" w:hAnsi="Arial" w:cs="Arial"/>
          <w:smallCaps/>
          <w:szCs w:val="20"/>
        </w:rPr>
        <w:sectPr>
          <w:headerReference r:id="rId3" w:type="default"/>
          <w:footerReference r:id="rId5" w:type="default"/>
          <w:headerReference r:id="rId4" w:type="even"/>
          <w:footerReference r:id="rId6" w:type="even"/>
          <w:type w:val="continuous"/>
          <w:pgSz w:w="11906" w:h="16838"/>
          <w:pgMar w:top="1418" w:right="1134" w:bottom="1418" w:left="1701" w:header="851" w:footer="992" w:gutter="0"/>
          <w:pgNumType w:fmt="upperRoman" w:start="0"/>
          <w:cols w:space="425" w:num="1"/>
          <w:titlePg/>
          <w:docGrid w:type="lines" w:linePitch="436" w:charSpace="195"/>
        </w:sectPr>
      </w:pPr>
      <w:r>
        <w:rPr>
          <w:rFonts w:ascii="Arial" w:hAnsi="Arial" w:cs="Arial"/>
          <w:smallCaps/>
          <w:szCs w:val="20"/>
        </w:rPr>
        <w:fldChar w:fldCharType="end"/>
      </w:r>
    </w:p>
    <w:p>
      <w:pPr>
        <w:pStyle w:val="9"/>
      </w:pPr>
      <w:bookmarkStart w:id="0" w:name="_Toc18965"/>
      <w:r>
        <w:rPr>
          <w:rFonts w:hint="eastAsia"/>
        </w:rPr>
        <w:t>总则</w:t>
      </w:r>
      <w:bookmarkEnd w:id="0"/>
    </w:p>
    <w:p>
      <w:pPr>
        <w:pStyle w:val="4"/>
        <w:numPr>
          <w:ilvl w:val="1"/>
          <w:numId w:val="58"/>
        </w:numPr>
      </w:pPr>
      <w:bookmarkStart w:id="1" w:name="_Toc29540"/>
      <w:r>
        <w:rPr>
          <w:rFonts w:hint="eastAsia"/>
        </w:rPr>
        <w:t>概述</w:t>
      </w:r>
      <w:bookmarkEnd w:id="1"/>
    </w:p>
    <w:p>
      <w:pPr>
        <w:ind w:firstLine="480" w:firstLineChars="200"/>
        <w:rPr>
          <w:rFonts w:hAnsi="宋体" w:cs="Arial"/>
        </w:rPr>
      </w:pPr>
      <w:r>
        <w:rPr>
          <w:rFonts w:hint="eastAsia" w:hAnsi="宋体" w:cs="Arial"/>
        </w:rPr>
        <w:t>本文件是福建省经济信息中心(以下简称甲方)为拟开展的“数字福建云计算中心(政务云)基础设施运维服务项目（2024年度）”(以下简称云计算中心基础设施运维项目)向提供云计算中心基础设施运维保障及服务的供应商(以下简称中标方)提出的整体技术要求，作为双方合同签订的技术附件。</w:t>
      </w:r>
    </w:p>
    <w:p>
      <w:pPr>
        <w:ind w:firstLine="480" w:firstLineChars="200"/>
        <w:rPr>
          <w:rFonts w:hAnsi="宋体" w:cs="Arial"/>
        </w:rPr>
      </w:pPr>
      <w:r>
        <w:rPr>
          <w:rFonts w:hint="eastAsia" w:hAnsi="宋体" w:cs="Arial"/>
        </w:rPr>
        <w:t>中标方负责本项目投入云计算中心基础设施运维保障服务的全过程，包括对本文件要求的云计算中心基础设施维护、平台运行维护等所有运维项目提供标准化服务和其他工作。</w:t>
      </w:r>
    </w:p>
    <w:p>
      <w:pPr>
        <w:ind w:firstLine="480" w:firstLineChars="200"/>
        <w:rPr>
          <w:rFonts w:hAnsi="宋体" w:cs="Arial"/>
        </w:rPr>
      </w:pPr>
      <w:r>
        <w:rPr>
          <w:rFonts w:hint="eastAsia" w:hAnsi="宋体" w:cs="Arial"/>
        </w:rPr>
        <w:t>中标方需对该项目进行充分了解，完善运维保障服务需求分析，制定服务工作计划、工程进度安排表、培训方案、验收测试方案等必备材料。</w:t>
      </w:r>
    </w:p>
    <w:p>
      <w:pPr>
        <w:pStyle w:val="4"/>
      </w:pPr>
      <w:bookmarkStart w:id="2" w:name="_Toc23792"/>
      <w:r>
        <w:rPr>
          <w:rFonts w:hint="eastAsia"/>
        </w:rPr>
        <w:t>项目服务内容范围与期限</w:t>
      </w:r>
      <w:bookmarkEnd w:id="2"/>
    </w:p>
    <w:p>
      <w:pPr>
        <w:ind w:firstLine="480" w:firstLineChars="200"/>
        <w:rPr>
          <w:rFonts w:hAnsi="宋体" w:cs="Arial"/>
        </w:rPr>
      </w:pPr>
      <w:r>
        <w:rPr>
          <w:rFonts w:hint="eastAsia" w:hAnsi="宋体" w:cs="Arial"/>
        </w:rPr>
        <w:t>本项目的服务内容与范围包括数字福建云计算中心（政务云）机房的所有基础设施运维服务，具体包括基础运维团队服务、维修维护服务、检测及测评服务、改造提升服务、备品备件服务、运维培训服务以及业主交办的其他相关服务事项。</w:t>
      </w:r>
    </w:p>
    <w:p>
      <w:pPr>
        <w:ind w:firstLine="480" w:firstLineChars="200"/>
        <w:rPr>
          <w:rFonts w:hAnsi="宋体" w:cs="Arial"/>
        </w:rPr>
      </w:pPr>
      <w:r>
        <w:rPr>
          <w:rFonts w:hint="eastAsia" w:hAnsi="宋体" w:cs="Arial"/>
        </w:rPr>
        <w:t>本项目服务期1年。</w:t>
      </w:r>
    </w:p>
    <w:p>
      <w:pPr>
        <w:pStyle w:val="4"/>
      </w:pPr>
      <w:bookmarkStart w:id="3" w:name="_Toc9748"/>
      <w:r>
        <w:rPr>
          <w:rFonts w:hint="eastAsia"/>
        </w:rPr>
        <w:t>★报价要求</w:t>
      </w:r>
      <w:bookmarkEnd w:id="3"/>
    </w:p>
    <w:p>
      <w:pPr>
        <w:pStyle w:val="135"/>
        <w:numPr>
          <w:ilvl w:val="0"/>
          <w:numId w:val="59"/>
        </w:numPr>
        <w:ind w:firstLine="420" w:firstLineChars="175"/>
        <w:rPr>
          <w:rFonts w:hAnsi="宋体" w:cs="Arial"/>
        </w:rPr>
      </w:pPr>
      <w:r>
        <w:rPr>
          <w:rFonts w:hint="eastAsia" w:hAnsi="宋体" w:cs="Arial"/>
        </w:rPr>
        <w:t>报价以人民币为单位，中标方的项目投资总价报价必须包含本项目所有费用(如无特别说明，并包括中标方发生的交通差旅费、运保费、人员安保费等)。如项目出现空窗期，则空窗期运维费用由中标方支付。</w:t>
      </w:r>
    </w:p>
    <w:p>
      <w:pPr>
        <w:ind w:firstLine="480" w:firstLineChars="200"/>
        <w:rPr>
          <w:rFonts w:hAnsi="宋体" w:cs="Arial"/>
        </w:rPr>
      </w:pPr>
      <w:r>
        <w:rPr>
          <w:rFonts w:hint="eastAsia" w:hAnsi="宋体" w:cs="Arial"/>
        </w:rPr>
        <w:t>注：空窗期是指上一年度运维服务合同到期之日至本年度合同签订之日止，空窗期运维费用计算方式：（基础运维团队服务+电气设备维修维护+通风空调设备维修维护+智能化系统维修维护+机柜维修维护+消防维护+空窗期相关维修产生的备品备件）×空窗期天数/本年度天数。</w:t>
      </w:r>
    </w:p>
    <w:p>
      <w:pPr>
        <w:pStyle w:val="135"/>
        <w:numPr>
          <w:ilvl w:val="0"/>
          <w:numId w:val="59"/>
        </w:numPr>
        <w:ind w:firstLine="420" w:firstLineChars="175"/>
        <w:rPr>
          <w:rFonts w:hAnsi="宋体" w:cs="Arial"/>
        </w:rPr>
      </w:pPr>
      <w:r>
        <w:rPr>
          <w:rFonts w:hint="eastAsia" w:hAnsi="宋体" w:cs="Arial"/>
        </w:rPr>
        <w:t>中标方报价必须包含服务期内的技术支持及售后服务，有特别说明的设备保修和技术服务要求的以相应内容为准。</w:t>
      </w:r>
    </w:p>
    <w:p>
      <w:pPr>
        <w:pStyle w:val="135"/>
        <w:numPr>
          <w:ilvl w:val="0"/>
          <w:numId w:val="59"/>
        </w:numPr>
        <w:ind w:firstLine="420" w:firstLineChars="175"/>
        <w:rPr>
          <w:rFonts w:hAnsi="宋体" w:cs="Arial"/>
        </w:rPr>
      </w:pPr>
      <w:r>
        <w:rPr>
          <w:rFonts w:hint="eastAsia" w:hAnsi="宋体" w:cs="Arial"/>
        </w:rPr>
        <w:t>项目投资报价的主要内容如下：</w:t>
      </w:r>
    </w:p>
    <w:p>
      <w:pPr>
        <w:pStyle w:val="135"/>
        <w:numPr>
          <w:ilvl w:val="0"/>
          <w:numId w:val="60"/>
        </w:numPr>
        <w:ind w:left="960" w:leftChars="250" w:hanging="360" w:hangingChars="150"/>
        <w:rPr>
          <w:rFonts w:hAnsi="宋体" w:cs="Arial"/>
        </w:rPr>
      </w:pPr>
      <w:r>
        <w:rPr>
          <w:rFonts w:hint="eastAsia" w:hAnsi="宋体" w:cs="Arial"/>
        </w:rPr>
        <w:t>基础运维服务事项及人员费用；</w:t>
      </w:r>
    </w:p>
    <w:p>
      <w:pPr>
        <w:pStyle w:val="135"/>
        <w:numPr>
          <w:ilvl w:val="0"/>
          <w:numId w:val="60"/>
        </w:numPr>
        <w:ind w:left="960" w:leftChars="250" w:hanging="360" w:hangingChars="150"/>
        <w:rPr>
          <w:rFonts w:hAnsi="宋体" w:cs="Arial"/>
        </w:rPr>
      </w:pPr>
      <w:r>
        <w:rPr>
          <w:rFonts w:hint="eastAsia" w:hAnsi="宋体" w:cs="Arial"/>
        </w:rPr>
        <w:t>备品备件服务（不限于：机柜、电气系统、通风空调系统、智能化系统等维修所需的备品备件）；</w:t>
      </w:r>
    </w:p>
    <w:p>
      <w:pPr>
        <w:pStyle w:val="135"/>
        <w:numPr>
          <w:ilvl w:val="0"/>
          <w:numId w:val="60"/>
        </w:numPr>
        <w:ind w:left="960" w:leftChars="250" w:hanging="360" w:hangingChars="150"/>
        <w:rPr>
          <w:rFonts w:hAnsi="宋体" w:cs="Arial"/>
        </w:rPr>
      </w:pPr>
      <w:r>
        <w:rPr>
          <w:rFonts w:hint="eastAsia" w:hAnsi="宋体" w:cs="Arial"/>
        </w:rPr>
        <w:t>防雷、消防检测费用</w:t>
      </w:r>
    </w:p>
    <w:p>
      <w:pPr>
        <w:pStyle w:val="135"/>
        <w:numPr>
          <w:ilvl w:val="0"/>
          <w:numId w:val="60"/>
        </w:numPr>
        <w:ind w:left="960" w:leftChars="250" w:hanging="360" w:hangingChars="150"/>
        <w:rPr>
          <w:rFonts w:hAnsi="宋体" w:cs="Arial"/>
        </w:rPr>
      </w:pPr>
      <w:r>
        <w:rPr>
          <w:rFonts w:hint="eastAsia" w:hAnsi="宋体" w:cs="Arial"/>
        </w:rPr>
        <w:t>网络安全等级测评费</w:t>
      </w:r>
    </w:p>
    <w:p>
      <w:pPr>
        <w:pStyle w:val="135"/>
        <w:numPr>
          <w:ilvl w:val="0"/>
          <w:numId w:val="60"/>
        </w:numPr>
        <w:ind w:left="960" w:leftChars="250" w:hanging="360" w:hangingChars="150"/>
        <w:rPr>
          <w:rFonts w:hAnsi="宋体" w:cs="Arial"/>
        </w:rPr>
      </w:pPr>
      <w:r>
        <w:rPr>
          <w:rFonts w:hint="eastAsia" w:hAnsi="宋体" w:cs="Arial"/>
        </w:rPr>
        <w:t>改造提升服务费用</w:t>
      </w:r>
    </w:p>
    <w:p>
      <w:pPr>
        <w:pStyle w:val="135"/>
        <w:numPr>
          <w:ilvl w:val="0"/>
          <w:numId w:val="60"/>
        </w:numPr>
        <w:ind w:left="960" w:leftChars="250" w:hanging="360" w:hangingChars="150"/>
        <w:rPr>
          <w:rFonts w:hAnsi="宋体" w:cs="Arial"/>
        </w:rPr>
      </w:pPr>
      <w:r>
        <w:rPr>
          <w:rFonts w:hint="eastAsia" w:hAnsi="宋体" w:cs="Arial"/>
        </w:rPr>
        <w:t>培训费用</w:t>
      </w:r>
    </w:p>
    <w:p>
      <w:pPr>
        <w:pStyle w:val="135"/>
        <w:numPr>
          <w:ilvl w:val="0"/>
          <w:numId w:val="60"/>
        </w:numPr>
        <w:ind w:left="960" w:leftChars="250" w:hanging="360" w:hangingChars="150"/>
        <w:rPr>
          <w:rFonts w:hAnsi="宋体" w:cs="Arial"/>
        </w:rPr>
      </w:pPr>
      <w:r>
        <w:rPr>
          <w:rFonts w:hint="eastAsia" w:hAnsi="宋体" w:cs="Arial"/>
        </w:rPr>
        <w:t>其它。</w:t>
      </w:r>
    </w:p>
    <w:p>
      <w:pPr>
        <w:pStyle w:val="135"/>
        <w:numPr>
          <w:ilvl w:val="0"/>
          <w:numId w:val="59"/>
        </w:numPr>
        <w:ind w:firstLine="420" w:firstLineChars="175"/>
        <w:rPr>
          <w:rFonts w:hAnsi="宋体" w:cs="Arial"/>
        </w:rPr>
      </w:pPr>
      <w:r>
        <w:rPr>
          <w:rFonts w:hint="eastAsia" w:hAnsi="宋体" w:cs="Arial"/>
        </w:rPr>
        <w:t>中标方若有其它优惠条件请提出。</w:t>
      </w:r>
    </w:p>
    <w:p>
      <w:pPr>
        <w:pStyle w:val="135"/>
        <w:numPr>
          <w:ilvl w:val="0"/>
          <w:numId w:val="59"/>
        </w:numPr>
        <w:ind w:firstLine="420" w:firstLineChars="175"/>
        <w:rPr>
          <w:rFonts w:hAnsi="宋体" w:cs="Arial"/>
        </w:rPr>
      </w:pPr>
      <w:r>
        <w:rPr>
          <w:rFonts w:hint="eastAsia" w:hAnsi="宋体" w:cs="Arial"/>
        </w:rPr>
        <w:t>报价中不允许出现“赠送”字样。</w:t>
      </w:r>
    </w:p>
    <w:p>
      <w:pPr>
        <w:pStyle w:val="135"/>
        <w:numPr>
          <w:ilvl w:val="0"/>
          <w:numId w:val="59"/>
        </w:numPr>
        <w:ind w:firstLine="420" w:firstLineChars="175"/>
        <w:rPr>
          <w:rFonts w:hAnsi="宋体" w:cs="Arial"/>
        </w:rPr>
      </w:pPr>
      <w:r>
        <w:rPr>
          <w:rFonts w:hint="eastAsia" w:hAnsi="宋体" w:cs="Arial"/>
        </w:rPr>
        <w:t>中标方应按合同包号进行完整报价，不允许仅对合同包中的部分品目号进行报价，否则其投标将被拒绝，视作废标处理。</w:t>
      </w:r>
    </w:p>
    <w:p>
      <w:pPr>
        <w:pStyle w:val="135"/>
        <w:numPr>
          <w:ilvl w:val="0"/>
          <w:numId w:val="59"/>
        </w:numPr>
        <w:ind w:firstLine="420" w:firstLineChars="175"/>
        <w:rPr>
          <w:rFonts w:hAnsi="宋体" w:cs="Arial"/>
        </w:rPr>
      </w:pPr>
      <w:r>
        <w:rPr>
          <w:rFonts w:hint="eastAsia" w:hAnsi="宋体" w:cs="Arial"/>
        </w:rPr>
        <w:t>不属于报价范围内的报价应单独另外附表，以供甲方选择。</w:t>
      </w:r>
    </w:p>
    <w:p>
      <w:pPr>
        <w:pStyle w:val="4"/>
      </w:pPr>
      <w:bookmarkStart w:id="4" w:name="_Toc22207"/>
      <w:r>
        <w:rPr>
          <w:rFonts w:hint="eastAsia"/>
        </w:rPr>
        <w:t>付款方式及支付要求</w:t>
      </w:r>
      <w:bookmarkEnd w:id="4"/>
    </w:p>
    <w:p>
      <w:pPr>
        <w:pStyle w:val="5"/>
      </w:pPr>
      <w:bookmarkStart w:id="5" w:name="_Toc2092"/>
      <w:r>
        <w:rPr>
          <w:rFonts w:hint="eastAsia"/>
        </w:rPr>
        <w:t>付款方式</w:t>
      </w:r>
      <w:bookmarkEnd w:id="5"/>
    </w:p>
    <w:p>
      <w:pPr>
        <w:ind w:firstLine="480" w:firstLineChars="200"/>
        <w:rPr>
          <w:rFonts w:hAnsi="宋体" w:cs="Arial"/>
        </w:rPr>
      </w:pPr>
      <w:r>
        <w:rPr>
          <w:rFonts w:hint="eastAsia" w:hAnsi="宋体" w:cs="Arial"/>
        </w:rPr>
        <w:t>甲方支付给中标方的款项采用银行转账或电汇。</w:t>
      </w:r>
    </w:p>
    <w:p>
      <w:pPr>
        <w:pStyle w:val="5"/>
      </w:pPr>
      <w:bookmarkStart w:id="6" w:name="_Toc12939"/>
      <w:r>
        <w:rPr>
          <w:rFonts w:hint="eastAsia"/>
        </w:rPr>
        <w:t>支付要求</w:t>
      </w:r>
      <w:bookmarkEnd w:id="6"/>
    </w:p>
    <w:p>
      <w:pPr>
        <w:ind w:firstLine="480" w:firstLineChars="200"/>
        <w:rPr>
          <w:rFonts w:hAnsi="宋体" w:cs="Arial"/>
        </w:rPr>
      </w:pPr>
      <w:r>
        <w:rPr>
          <w:rFonts w:hint="eastAsia" w:hAnsi="宋体" w:cs="Arial"/>
        </w:rPr>
        <w:t>按以下比例分批支付：</w:t>
      </w:r>
    </w:p>
    <w:p>
      <w:pPr>
        <w:pStyle w:val="135"/>
        <w:numPr>
          <w:ilvl w:val="0"/>
          <w:numId w:val="61"/>
        </w:numPr>
        <w:ind w:firstLine="420" w:firstLineChars="175"/>
        <w:rPr>
          <w:rFonts w:hAnsi="宋体" w:cs="Arial"/>
        </w:rPr>
      </w:pPr>
      <w:r>
        <w:rPr>
          <w:rFonts w:hint="eastAsia" w:hAnsi="宋体" w:cs="Arial"/>
        </w:rPr>
        <w:t>合同签订并生效后且收到财政拨款后的</w:t>
      </w:r>
      <w:r>
        <w:rPr>
          <w:rFonts w:hAnsi="宋体" w:cs="Arial"/>
        </w:rPr>
        <w:t>20</w:t>
      </w:r>
      <w:r>
        <w:rPr>
          <w:rFonts w:hint="eastAsia" w:hAnsi="宋体" w:cs="Arial"/>
        </w:rPr>
        <w:t>日内支付运维服务预付款，为合同价款的40％；</w:t>
      </w:r>
    </w:p>
    <w:p>
      <w:pPr>
        <w:pStyle w:val="135"/>
        <w:numPr>
          <w:ilvl w:val="0"/>
          <w:numId w:val="61"/>
        </w:numPr>
        <w:ind w:firstLine="420" w:firstLineChars="175"/>
        <w:rPr>
          <w:rFonts w:hAnsi="宋体" w:cs="Arial"/>
        </w:rPr>
      </w:pPr>
      <w:r>
        <w:rPr>
          <w:rFonts w:hint="eastAsia" w:hAnsi="宋体" w:cs="Arial"/>
        </w:rPr>
        <w:t>运维服务满6个月，完成半年运维服务考核，</w:t>
      </w:r>
      <w:bookmarkStart w:id="7" w:name="_Hlk143761282"/>
      <w:r>
        <w:rPr>
          <w:rFonts w:hint="eastAsia" w:hAnsi="宋体" w:cs="Arial"/>
        </w:rPr>
        <w:t>且</w:t>
      </w:r>
      <w:bookmarkEnd w:id="7"/>
      <w:r>
        <w:rPr>
          <w:rFonts w:hint="eastAsia" w:hAnsi="宋体" w:cs="Arial"/>
        </w:rPr>
        <w:t>甲方收到财政拨款后的</w:t>
      </w:r>
      <w:r>
        <w:rPr>
          <w:rFonts w:hAnsi="宋体" w:cs="Arial"/>
        </w:rPr>
        <w:t>20</w:t>
      </w:r>
      <w:r>
        <w:rPr>
          <w:rFonts w:hint="eastAsia" w:hAnsi="宋体" w:cs="Arial"/>
        </w:rPr>
        <w:t>日内，支付合同价款的40％；</w:t>
      </w:r>
    </w:p>
    <w:p>
      <w:pPr>
        <w:pStyle w:val="135"/>
        <w:numPr>
          <w:ilvl w:val="0"/>
          <w:numId w:val="61"/>
        </w:numPr>
        <w:ind w:firstLine="420" w:firstLineChars="175"/>
        <w:rPr>
          <w:rFonts w:hAnsi="宋体" w:cs="Arial"/>
        </w:rPr>
      </w:pPr>
      <w:r>
        <w:rPr>
          <w:rFonts w:hint="eastAsia" w:hAnsi="宋体" w:cs="Arial"/>
        </w:rPr>
        <w:t>运维服务满12个月，验收合格后，且甲方收到财政拨款后的</w:t>
      </w:r>
      <w:r>
        <w:rPr>
          <w:rFonts w:hAnsi="宋体" w:cs="Arial"/>
        </w:rPr>
        <w:t>20</w:t>
      </w:r>
      <w:r>
        <w:rPr>
          <w:rFonts w:hint="eastAsia" w:hAnsi="宋体" w:cs="Arial"/>
        </w:rPr>
        <w:t>日内，根据“服务考核”得分，按照得分支付比例支付。</w:t>
      </w:r>
    </w:p>
    <w:p>
      <w:pPr>
        <w:ind w:firstLine="480" w:firstLineChars="200"/>
        <w:rPr>
          <w:rFonts w:hAnsi="宋体" w:cs="Arial"/>
        </w:rPr>
      </w:pPr>
      <w:r>
        <w:rPr>
          <w:rFonts w:hint="eastAsia" w:hAnsi="宋体" w:cs="Arial"/>
        </w:rPr>
        <w:t>中标方申请甲方支付每笔款项时，中标方均应向甲方提供等额的合法有效的税务发票。</w:t>
      </w:r>
    </w:p>
    <w:p>
      <w:pPr>
        <w:ind w:firstLine="480" w:firstLineChars="200"/>
        <w:rPr>
          <w:rFonts w:hAnsi="宋体" w:cs="Arial"/>
        </w:rPr>
      </w:pPr>
      <w:r>
        <w:rPr>
          <w:rFonts w:hint="eastAsia" w:hAnsi="宋体" w:cs="Arial"/>
        </w:rPr>
        <w:t>此条款必须满足。</w:t>
      </w:r>
    </w:p>
    <w:p>
      <w:pPr>
        <w:ind w:firstLine="480" w:firstLineChars="200"/>
        <w:rPr>
          <w:rFonts w:hAnsi="宋体" w:cs="Arial"/>
        </w:rPr>
      </w:pPr>
      <w:r>
        <w:rPr>
          <w:rFonts w:hint="eastAsia" w:hAnsi="宋体" w:cs="Arial"/>
        </w:rPr>
        <w:t>另：中标方一旦存在运维服务、故障及事件处理不及时不到位，影响云计算中心基础设施及政务云正常使用，导致相关用户投诉到省领导、省政府、省发改委、省数据管理局等主管部门的，一次扣减服务费10万元。</w:t>
      </w:r>
    </w:p>
    <w:p>
      <w:pPr>
        <w:ind w:firstLine="480" w:firstLineChars="200"/>
        <w:rPr>
          <w:rFonts w:hAnsi="宋体" w:cs="Arial"/>
        </w:rPr>
      </w:pPr>
      <w:r>
        <w:rPr>
          <w:rFonts w:hint="eastAsia" w:hAnsi="宋体" w:cs="Arial"/>
        </w:rPr>
        <w:t>中标方在收到中标通知书后</w:t>
      </w:r>
      <w:r>
        <w:rPr>
          <w:rFonts w:hAnsi="宋体" w:cs="Arial"/>
        </w:rPr>
        <w:t>30个工作日内向技术规范书编制单位支付技术规范书编制费用全款。</w:t>
      </w:r>
    </w:p>
    <w:p>
      <w:pPr>
        <w:pStyle w:val="4"/>
      </w:pPr>
      <w:bookmarkStart w:id="8" w:name="_Toc7336"/>
      <w:r>
        <w:rPr>
          <w:rFonts w:hint="eastAsia"/>
        </w:rPr>
        <w:t>现场地点</w:t>
      </w:r>
      <w:bookmarkEnd w:id="8"/>
    </w:p>
    <w:p>
      <w:pPr>
        <w:ind w:firstLine="480" w:firstLineChars="200"/>
        <w:rPr>
          <w:rFonts w:hAnsi="宋体" w:cs="Arial"/>
        </w:rPr>
      </w:pPr>
      <w:r>
        <w:rPr>
          <w:rFonts w:hint="eastAsia" w:hAnsi="宋体" w:cs="Arial"/>
        </w:rPr>
        <w:t>现场地点为甲方指定的地点，即数字福建云计算中心（政务云）机房。</w:t>
      </w:r>
    </w:p>
    <w:p>
      <w:pPr>
        <w:pStyle w:val="4"/>
      </w:pPr>
      <w:bookmarkStart w:id="9" w:name="_Toc29462"/>
      <w:r>
        <w:rPr>
          <w:rFonts w:hint="eastAsia"/>
        </w:rPr>
        <w:t>安全保密要求</w:t>
      </w:r>
      <w:bookmarkEnd w:id="9"/>
    </w:p>
    <w:p>
      <w:pPr>
        <w:pStyle w:val="135"/>
        <w:numPr>
          <w:ilvl w:val="0"/>
          <w:numId w:val="62"/>
        </w:numPr>
        <w:ind w:firstLine="420" w:firstLineChars="175"/>
        <w:rPr>
          <w:rFonts w:hAnsi="宋体" w:cs="Arial"/>
        </w:rPr>
      </w:pPr>
      <w:r>
        <w:rPr>
          <w:rFonts w:hint="eastAsia" w:hAnsi="宋体" w:cs="Arial"/>
        </w:rPr>
        <w:t>中标方提供的服务和工具均应该完全解决可能出现的运维相关问题，不允许通过设置“后门”实现服务。对可能出现的安全问题需提出详细的解决方案和具体的措施。</w:t>
      </w:r>
    </w:p>
    <w:p>
      <w:pPr>
        <w:pStyle w:val="135"/>
        <w:numPr>
          <w:ilvl w:val="0"/>
          <w:numId w:val="62"/>
        </w:numPr>
        <w:ind w:firstLine="420" w:firstLineChars="175"/>
        <w:rPr>
          <w:rFonts w:hAnsi="宋体" w:cs="Arial"/>
        </w:rPr>
      </w:pPr>
      <w:r>
        <w:rPr>
          <w:rFonts w:hint="eastAsia" w:hAnsi="宋体" w:cs="Arial"/>
        </w:rPr>
        <w:t>运维服务过程中至中标方正式向甲方交付系统文档资料时止，中标方必须采取措施对本项目运维服务过程中的运维日记、维护文档、技术文档等资料保密，否则，由于中标方过错导致的上述资料泄密的，中标方必须承担一切责任。完成服务后，双方均有责任对本工程的技术保密承担责任。</w:t>
      </w:r>
    </w:p>
    <w:p>
      <w:pPr>
        <w:pStyle w:val="135"/>
        <w:numPr>
          <w:ilvl w:val="0"/>
          <w:numId w:val="62"/>
        </w:numPr>
        <w:ind w:firstLine="420" w:firstLineChars="175"/>
        <w:rPr>
          <w:rFonts w:hAnsi="宋体" w:cs="Arial"/>
        </w:rPr>
      </w:pPr>
      <w:r>
        <w:rPr>
          <w:rFonts w:hint="eastAsia" w:hAnsi="宋体" w:cs="Arial"/>
        </w:rPr>
        <w:t>根据安全责任边界划分规定，中标方需依照等保三级及以上的相关安全规定与措施加强安全管理，通过保障数字福建云计算中心（政务云）的物理安全以确保中心信息和数据不受物理层面的入侵、泄露或破坏。</w:t>
      </w:r>
    </w:p>
    <w:p>
      <w:pPr>
        <w:pStyle w:val="135"/>
        <w:numPr>
          <w:ilvl w:val="0"/>
          <w:numId w:val="62"/>
        </w:numPr>
        <w:ind w:firstLine="420" w:firstLineChars="175"/>
        <w:rPr>
          <w:rFonts w:hAnsi="宋体" w:cs="Arial"/>
        </w:rPr>
      </w:pPr>
      <w:r>
        <w:rPr>
          <w:rFonts w:hint="eastAsia" w:hAnsi="宋体" w:cs="Arial"/>
        </w:rPr>
        <w:t>中标方无条件接受甲方的保密约定，包括在合同期结束后承诺五年内的保密义务，并承担相应的泄密责任。</w:t>
      </w:r>
    </w:p>
    <w:p>
      <w:pPr>
        <w:pStyle w:val="135"/>
        <w:numPr>
          <w:ilvl w:val="0"/>
          <w:numId w:val="62"/>
        </w:numPr>
        <w:ind w:firstLine="420" w:firstLineChars="175"/>
        <w:rPr>
          <w:rFonts w:hAnsi="宋体" w:cs="Arial"/>
        </w:rPr>
      </w:pPr>
      <w:r>
        <w:rPr>
          <w:rFonts w:hint="eastAsia" w:hAnsi="宋体" w:cs="Arial"/>
        </w:rPr>
        <w:t>中标方具体安全责任要求应按照“4.2.</w:t>
      </w:r>
      <w:r>
        <w:rPr>
          <w:rFonts w:hAnsi="宋体" w:cs="Arial"/>
        </w:rPr>
        <w:t>2</w:t>
      </w:r>
      <w:r>
        <w:rPr>
          <w:rFonts w:hint="eastAsia" w:hAnsi="宋体" w:cs="Arial"/>
        </w:rPr>
        <w:t>.</w:t>
      </w:r>
      <w:r>
        <w:rPr>
          <w:rFonts w:hAnsi="宋体" w:cs="Arial"/>
        </w:rPr>
        <w:t>3</w:t>
      </w:r>
      <w:r>
        <w:rPr>
          <w:rFonts w:hint="eastAsia" w:hAnsi="宋体" w:cs="Arial"/>
        </w:rPr>
        <w:t>安全责任要求”执行。</w:t>
      </w:r>
    </w:p>
    <w:p>
      <w:pPr>
        <w:ind w:firstLine="480" w:firstLineChars="200"/>
        <w:rPr>
          <w:rFonts w:hAnsi="宋体" w:cs="Arial"/>
        </w:rPr>
      </w:pPr>
    </w:p>
    <w:p>
      <w:pPr>
        <w:pStyle w:val="9"/>
        <w:sectPr>
          <w:footerReference r:id="rId7" w:type="default"/>
          <w:footerReference r:id="rId8" w:type="even"/>
          <w:pgSz w:w="11906" w:h="16838"/>
          <w:pgMar w:top="1418" w:right="1134" w:bottom="1418" w:left="1701" w:header="851" w:footer="992" w:gutter="0"/>
          <w:pgNumType w:start="1"/>
          <w:cols w:space="425" w:num="1"/>
          <w:docGrid w:type="lines" w:linePitch="436" w:charSpace="195"/>
        </w:sectPr>
      </w:pPr>
    </w:p>
    <w:p>
      <w:pPr>
        <w:pStyle w:val="9"/>
      </w:pPr>
      <w:bookmarkStart w:id="10" w:name="_Toc31652"/>
      <w:r>
        <w:rPr>
          <w:rFonts w:hint="eastAsia"/>
        </w:rPr>
        <w:t>项目概述</w:t>
      </w:r>
      <w:bookmarkEnd w:id="10"/>
    </w:p>
    <w:p>
      <w:pPr>
        <w:pStyle w:val="3"/>
      </w:pPr>
    </w:p>
    <w:p>
      <w:pPr>
        <w:pStyle w:val="4"/>
      </w:pPr>
      <w:bookmarkStart w:id="11" w:name="_Toc25902"/>
      <w:r>
        <w:rPr>
          <w:rFonts w:hint="eastAsia"/>
        </w:rPr>
        <w:t>服务目标</w:t>
      </w:r>
      <w:bookmarkEnd w:id="11"/>
    </w:p>
    <w:p>
      <w:pPr>
        <w:ind w:firstLine="480" w:firstLineChars="200"/>
        <w:rPr>
          <w:rFonts w:hAnsi="宋体" w:cs="Arial"/>
        </w:rPr>
      </w:pPr>
      <w:r>
        <w:rPr>
          <w:rFonts w:hint="eastAsia" w:hAnsi="宋体" w:cs="Arial"/>
        </w:rPr>
        <w:t>数字福建云计算中心（政务云）（以下简称“云计算中心”)工程已按照国家A级数据中心标准进行设计建设。本次运维服务将基于ITSS的框架、ITIL的最佳实践，参照ISO20000体系及Uptime M&amp;O认证标准，并结合实际工作需要，向社会购买运维服务，通过统筹相关资源，组建云计算中心基础设施专有运维团队，完善优化现有的云计算中心基础设施运维体系，实施运维服务，确保达到以下目标：</w:t>
      </w:r>
    </w:p>
    <w:p>
      <w:pPr>
        <w:pStyle w:val="135"/>
        <w:numPr>
          <w:ilvl w:val="2"/>
          <w:numId w:val="63"/>
        </w:numPr>
        <w:spacing w:before="120"/>
        <w:ind w:left="0" w:firstLine="482"/>
        <w:rPr>
          <w:rFonts w:hAnsi="宋体" w:cs="Arial"/>
          <w:b/>
          <w:bCs/>
        </w:rPr>
      </w:pPr>
      <w:r>
        <w:rPr>
          <w:rFonts w:hint="eastAsia" w:hAnsi="宋体" w:cs="Arial"/>
          <w:b/>
          <w:bCs/>
        </w:rPr>
        <w:t>实现云计算中心基础设施7*24小时稳定运行</w:t>
      </w:r>
    </w:p>
    <w:p>
      <w:pPr>
        <w:ind w:firstLine="480" w:firstLineChars="200"/>
        <w:rPr>
          <w:rFonts w:hAnsi="宋体" w:cs="Arial"/>
        </w:rPr>
      </w:pPr>
      <w:r>
        <w:rPr>
          <w:rFonts w:hint="eastAsia" w:hAnsi="宋体" w:cs="Arial"/>
        </w:rPr>
        <w:t>通过制定科学的日常监控巡检、值守保障方案，结合先进高效的运维工具和技术手段，落实运维服务管理制度，做好日常运行维护保障工作，确保机房的安全和数据中心电气系统、通风空调等基础设施7*24小时稳定运行。</w:t>
      </w:r>
    </w:p>
    <w:p>
      <w:pPr>
        <w:pStyle w:val="135"/>
        <w:numPr>
          <w:ilvl w:val="2"/>
          <w:numId w:val="63"/>
        </w:numPr>
        <w:spacing w:before="120"/>
        <w:ind w:left="0" w:firstLine="482"/>
        <w:rPr>
          <w:rFonts w:hAnsi="宋体" w:cs="Arial"/>
          <w:b/>
          <w:bCs/>
        </w:rPr>
      </w:pPr>
      <w:r>
        <w:rPr>
          <w:rFonts w:hint="eastAsia" w:hAnsi="宋体" w:cs="Arial"/>
          <w:b/>
          <w:bCs/>
        </w:rPr>
        <w:t>有效提升云计算中心机房技术支撑和服务保障能力</w:t>
      </w:r>
    </w:p>
    <w:p>
      <w:pPr>
        <w:ind w:firstLine="480" w:firstLineChars="200"/>
        <w:rPr>
          <w:rFonts w:hAnsi="宋体" w:cs="Arial"/>
        </w:rPr>
      </w:pPr>
      <w:r>
        <w:rPr>
          <w:rFonts w:hint="eastAsia" w:hAnsi="宋体" w:cs="Arial"/>
        </w:rPr>
        <w:t>参考《数据中心基础设施运行维护标准》（GB/T 51314-2018）要求，全年因机房基础设施相关的电气、通风空调、智能化及消防等系统故障造成机房基础设施整体可用性下降，因此导致业务中断全年累计时间不超过1.6小时，即可用性应大于99.982%。</w:t>
      </w:r>
    </w:p>
    <w:p>
      <w:pPr>
        <w:ind w:firstLine="480" w:firstLineChars="200"/>
        <w:rPr>
          <w:rFonts w:hAnsi="宋体" w:cs="Arial"/>
        </w:rPr>
      </w:pPr>
      <w:r>
        <w:rPr>
          <w:rFonts w:hint="eastAsia" w:hAnsi="宋体" w:cs="Arial"/>
        </w:rPr>
        <w:t>注：①可用性的计算方式为：（365×24小时-全年业务中断累计时间）÷（365×24小时）×100%；②因供电局、自来水公司等外部原因，引起长时间（12个小时以上）停电停水等导致的中断时间不计入全年累计时间；③因不可抗力因素导致的中断时间不计入全年累计时间。</w:t>
      </w:r>
    </w:p>
    <w:p>
      <w:pPr>
        <w:ind w:firstLine="480" w:firstLineChars="200"/>
        <w:rPr>
          <w:rFonts w:hAnsi="宋体" w:cs="Arial"/>
        </w:rPr>
      </w:pPr>
      <w:r>
        <w:rPr>
          <w:rFonts w:hint="eastAsia" w:hAnsi="宋体" w:cs="Arial"/>
        </w:rPr>
        <w:t>在此基础上，需通过网络安全等级保护三级测评。同时，加强机房基础设施技术培训、应急演练、能耗管理等保障支撑，提升服务能力。</w:t>
      </w:r>
    </w:p>
    <w:p>
      <w:pPr>
        <w:pStyle w:val="135"/>
        <w:numPr>
          <w:ilvl w:val="2"/>
          <w:numId w:val="63"/>
        </w:numPr>
        <w:spacing w:before="120"/>
        <w:ind w:left="0" w:firstLine="482"/>
        <w:rPr>
          <w:rFonts w:hAnsi="宋体" w:cs="Arial"/>
          <w:b/>
          <w:bCs/>
        </w:rPr>
      </w:pPr>
      <w:r>
        <w:rPr>
          <w:rFonts w:hint="eastAsia" w:hAnsi="宋体" w:cs="Arial"/>
          <w:b/>
          <w:bCs/>
        </w:rPr>
        <w:t>优化云计算中心机房运维和安全管理制度</w:t>
      </w:r>
    </w:p>
    <w:p>
      <w:pPr>
        <w:ind w:firstLine="480" w:firstLineChars="200"/>
        <w:rPr>
          <w:rFonts w:hAnsi="宋体" w:cs="Arial"/>
        </w:rPr>
      </w:pPr>
      <w:r>
        <w:rPr>
          <w:rFonts w:hint="eastAsia" w:hAnsi="宋体" w:cs="Arial"/>
        </w:rPr>
        <w:t>结合云计算中心往年运维服务经验，优化机房运维管理制度，并重点优化完善机房消防安全管理、人员安全及职业健康管理、机房出入管理、机房环境管理、运维及办公网络管理和系统安全管理等安全管理制度，进一步提升云计算中心机房的服务质量和安全性。</w:t>
      </w:r>
    </w:p>
    <w:p>
      <w:pPr>
        <w:pStyle w:val="4"/>
      </w:pPr>
      <w:bookmarkStart w:id="12" w:name="_Toc2127"/>
      <w:r>
        <w:rPr>
          <w:rFonts w:hint="eastAsia"/>
        </w:rPr>
        <w:t>服务内容</w:t>
      </w:r>
      <w:bookmarkEnd w:id="12"/>
    </w:p>
    <w:p>
      <w:pPr>
        <w:ind w:firstLine="480" w:firstLineChars="200"/>
        <w:rPr>
          <w:rFonts w:hAnsi="宋体" w:cs="Arial"/>
        </w:rPr>
      </w:pPr>
      <w:r>
        <w:rPr>
          <w:rFonts w:hint="eastAsia" w:hAnsi="宋体" w:cs="Arial"/>
        </w:rPr>
        <w:t>数字福建云计算中心（政务云）基础设施运维，主要包括机房的电气、通风空调、消防（含大楼）、智能化、机柜等基础设施，以及机房大楼运维和办公相关IT设备，不包括政务云平台IT设备和业务系统的运维。</w:t>
      </w:r>
    </w:p>
    <w:p>
      <w:pPr>
        <w:ind w:firstLine="480" w:firstLineChars="200"/>
        <w:rPr>
          <w:rFonts w:hAnsi="宋体" w:cs="Arial"/>
        </w:rPr>
      </w:pPr>
      <w:r>
        <w:rPr>
          <w:rFonts w:hint="eastAsia" w:hAnsi="宋体" w:cs="Arial"/>
        </w:rPr>
        <w:t>本年度运维服务主要内容是开展基础设施运维服务，包括服务相关的备品备件，具体如下：</w:t>
      </w:r>
    </w:p>
    <w:p>
      <w:pPr>
        <w:pStyle w:val="135"/>
        <w:numPr>
          <w:ilvl w:val="2"/>
          <w:numId w:val="64"/>
        </w:numPr>
        <w:spacing w:before="120"/>
        <w:ind w:left="0" w:firstLine="482"/>
        <w:rPr>
          <w:rFonts w:hAnsi="宋体" w:cs="Arial"/>
          <w:b/>
          <w:bCs/>
        </w:rPr>
      </w:pPr>
      <w:r>
        <w:rPr>
          <w:rFonts w:hint="eastAsia" w:hAnsi="宋体" w:cs="Arial"/>
          <w:b/>
          <w:bCs/>
        </w:rPr>
        <w:t>日常监控巡检服务</w:t>
      </w:r>
    </w:p>
    <w:p>
      <w:pPr>
        <w:ind w:firstLine="480" w:firstLineChars="200"/>
        <w:rPr>
          <w:rFonts w:hAnsi="宋体" w:cs="Arial"/>
        </w:rPr>
      </w:pPr>
      <w:r>
        <w:rPr>
          <w:rFonts w:hint="eastAsia" w:hAnsi="宋体" w:cs="Arial"/>
        </w:rPr>
        <w:t>建立专职日常值班巡检保障团队，开展ECC日常监控，机房及设备房日常巡查，7*24小时值班，及时发现异常情况、应急处置与汇报等日常运行监控工作。</w:t>
      </w:r>
    </w:p>
    <w:p>
      <w:pPr>
        <w:pStyle w:val="135"/>
        <w:numPr>
          <w:ilvl w:val="2"/>
          <w:numId w:val="64"/>
        </w:numPr>
        <w:spacing w:before="120"/>
        <w:ind w:left="0" w:firstLine="482"/>
        <w:rPr>
          <w:rFonts w:hAnsi="宋体" w:cs="Arial"/>
          <w:b/>
          <w:bCs/>
        </w:rPr>
      </w:pPr>
      <w:r>
        <w:rPr>
          <w:rFonts w:hint="eastAsia" w:hAnsi="宋体" w:cs="Arial"/>
          <w:b/>
          <w:bCs/>
        </w:rPr>
        <w:t>技术支撑保障服务</w:t>
      </w:r>
    </w:p>
    <w:p>
      <w:pPr>
        <w:ind w:firstLine="480" w:firstLineChars="200"/>
        <w:rPr>
          <w:rFonts w:hAnsi="宋体" w:cs="Arial"/>
        </w:rPr>
      </w:pPr>
      <w:r>
        <w:rPr>
          <w:rFonts w:hint="eastAsia" w:hAnsi="宋体" w:cs="Arial"/>
        </w:rPr>
        <w:t>建立专业技术支持团队，包括电气、通风空调、智能化与消防等专业技术支持和管理人员，参与设备定期检查与检修、保养，结合安全运维制定应急演练方案并定期开展演练，根据重要活动及重要风险需求制定重保方案并执行，协助管理单位制定检修与保养的技术规范，制定保养计划，定期开展设备保养与预防性维护。</w:t>
      </w:r>
    </w:p>
    <w:p>
      <w:pPr>
        <w:pStyle w:val="135"/>
        <w:numPr>
          <w:ilvl w:val="2"/>
          <w:numId w:val="64"/>
        </w:numPr>
        <w:spacing w:before="120"/>
        <w:ind w:left="0" w:firstLine="482"/>
        <w:rPr>
          <w:rFonts w:hAnsi="宋体" w:cs="Arial"/>
          <w:b/>
          <w:bCs/>
        </w:rPr>
      </w:pPr>
      <w:r>
        <w:rPr>
          <w:rFonts w:hint="eastAsia" w:hAnsi="宋体" w:cs="Arial"/>
          <w:b/>
          <w:bCs/>
        </w:rPr>
        <w:t>优化完善运维服务规范和综合管理</w:t>
      </w:r>
    </w:p>
    <w:p>
      <w:pPr>
        <w:ind w:firstLine="480" w:firstLineChars="200"/>
        <w:rPr>
          <w:rFonts w:hAnsi="宋体" w:cs="Arial"/>
        </w:rPr>
      </w:pPr>
      <w:r>
        <w:rPr>
          <w:rFonts w:hint="eastAsia" w:hAnsi="宋体" w:cs="Arial"/>
        </w:rPr>
        <w:t>协助省经济信息中心完善优化云计算中心机房基础设施运维服务体系，结合国内外流行的基础设施运维执行标准和先进地方数据中心管理经验，制定符合数字福建云计算中心（政务云）管理需求的特性化规范，优化各项流程制度，有效指导和规范运维团队的日常管理、运行监控与技术保障等现场工作，同时，提供宣传材料优化，包括提升云计算中心运维相关的标识、文档、视频等内容；优化升级机房DCIM、运维工作门户、监控展示等综合管理系统，实现集中统管，提升智能化管理水平。</w:t>
      </w:r>
    </w:p>
    <w:p>
      <w:pPr>
        <w:ind w:firstLine="480" w:firstLineChars="200"/>
        <w:rPr>
          <w:rFonts w:hAnsi="宋体" w:cs="Arial"/>
        </w:rPr>
      </w:pPr>
      <w:r>
        <w:rPr>
          <w:rFonts w:hint="eastAsia" w:hAnsi="宋体" w:cs="Arial"/>
        </w:rPr>
        <w:t>中标方需依照等保三级及以上的相关安全规定，加强机房物理安全管理、人员设备出入管理，及提出运维网络安全优化措施等。本年度数字福建云计算中心（政务云）机房基础设施，需完成GB/T 22239-2019《信息安全技术 网络安全等级保护基本要求》三级测评，相关经费包含在运维服务中。同时，执行运维体系的人员管理、任务管理、事件管理与风险管理；组织开展人员定期培训、应急演练，组织风险排查；协助省经济信息中心定期修订、优化各项运维相关流程、制度。同时，结合本项目开展运维监理、节能降碳等相关规范的研究探索工作。</w:t>
      </w:r>
    </w:p>
    <w:p>
      <w:pPr>
        <w:pStyle w:val="135"/>
        <w:numPr>
          <w:ilvl w:val="2"/>
          <w:numId w:val="64"/>
        </w:numPr>
        <w:spacing w:before="120"/>
        <w:ind w:left="0" w:firstLine="482"/>
        <w:rPr>
          <w:rFonts w:hAnsi="宋体" w:cs="Arial"/>
          <w:b/>
          <w:bCs/>
        </w:rPr>
      </w:pPr>
      <w:r>
        <w:rPr>
          <w:rFonts w:hint="eastAsia" w:hAnsi="宋体" w:cs="Arial"/>
          <w:b/>
          <w:bCs/>
        </w:rPr>
        <w:t>备品备件服务</w:t>
      </w:r>
    </w:p>
    <w:p>
      <w:pPr>
        <w:ind w:firstLine="480" w:firstLineChars="200"/>
        <w:rPr>
          <w:rFonts w:hAnsi="宋体" w:cs="Arial"/>
        </w:rPr>
      </w:pPr>
      <w:r>
        <w:rPr>
          <w:rFonts w:hint="eastAsia" w:hAnsi="宋体" w:cs="Arial"/>
        </w:rPr>
        <w:t>确保提供运维保障过程中设备故障维修所需的备品备件，包括不限于提供机柜、电气系统、通风空调系统、智能化系统、网络系统、运维办公环境等设备实际维修所需的相关备品、备件。</w:t>
      </w:r>
    </w:p>
    <w:p>
      <w:pPr>
        <w:pStyle w:val="4"/>
      </w:pPr>
      <w:bookmarkStart w:id="13" w:name="_Toc25955"/>
      <w:r>
        <w:rPr>
          <w:rFonts w:hint="eastAsia"/>
        </w:rPr>
        <w:t>数字福建云计算中心（政务云）基础设施现状</w:t>
      </w:r>
      <w:bookmarkEnd w:id="13"/>
    </w:p>
    <w:p>
      <w:pPr>
        <w:ind w:firstLine="480" w:firstLineChars="200"/>
        <w:rPr>
          <w:rFonts w:hAnsi="宋体" w:cs="Arial"/>
        </w:rPr>
      </w:pPr>
      <w:r>
        <w:rPr>
          <w:rFonts w:hint="eastAsia" w:hAnsi="宋体" w:cs="Arial"/>
        </w:rPr>
        <w:t>云计算中心平台基础设施分两个阶段实施，2017年完成第一阶段建设，2021年完成第二阶段建设。第一阶段主要涉及一层主机房A、三层微模块机房D、四层微模块机房F及其配套设施建设；第二阶段主要涉及二层主机房B、C、等保机房、非标机房、三层微模块机房E及其配套设施建设。</w:t>
      </w:r>
    </w:p>
    <w:p>
      <w:pPr>
        <w:pStyle w:val="5"/>
      </w:pPr>
      <w:bookmarkStart w:id="14" w:name="_Toc2481"/>
      <w:r>
        <w:rPr>
          <w:rFonts w:hint="eastAsia"/>
        </w:rPr>
        <w:t>云计算中心总体平面规划</w:t>
      </w:r>
      <w:bookmarkEnd w:id="14"/>
    </w:p>
    <w:p>
      <w:pPr>
        <w:pStyle w:val="6"/>
        <w:rPr>
          <w:color w:val="auto"/>
        </w:rPr>
      </w:pPr>
      <w:r>
        <w:rPr>
          <w:rFonts w:hint="eastAsia"/>
          <w:color w:val="auto"/>
        </w:rPr>
        <w:t>云计算中心平面功能间布局</w:t>
      </w:r>
    </w:p>
    <w:p>
      <w:pPr>
        <w:pStyle w:val="11"/>
      </w:pPr>
      <w:bookmarkStart w:id="15" w:name="_Toc165045244"/>
      <w:r>
        <w:rPr>
          <w:rFonts w:hint="eastAsia"/>
        </w:rPr>
        <w:t>云计算中心平面功能间布局</w:t>
      </w:r>
      <w:bookmarkEnd w:id="15"/>
    </w:p>
    <w:tbl>
      <w:tblPr>
        <w:tblStyle w:val="75"/>
        <w:tblW w:w="9049" w:type="dxa"/>
        <w:tblInd w:w="0" w:type="dxa"/>
        <w:tblLayout w:type="autofit"/>
        <w:tblCellMar>
          <w:top w:w="0" w:type="dxa"/>
          <w:left w:w="108" w:type="dxa"/>
          <w:bottom w:w="0" w:type="dxa"/>
          <w:right w:w="108" w:type="dxa"/>
        </w:tblCellMar>
      </w:tblPr>
      <w:tblGrid>
        <w:gridCol w:w="660"/>
        <w:gridCol w:w="800"/>
        <w:gridCol w:w="1778"/>
        <w:gridCol w:w="1088"/>
        <w:gridCol w:w="992"/>
        <w:gridCol w:w="993"/>
        <w:gridCol w:w="992"/>
        <w:gridCol w:w="1746"/>
      </w:tblGrid>
      <w:tr>
        <w:tblPrEx>
          <w:tblCellMar>
            <w:top w:w="0" w:type="dxa"/>
            <w:left w:w="108" w:type="dxa"/>
            <w:bottom w:w="0" w:type="dxa"/>
            <w:right w:w="108" w:type="dxa"/>
          </w:tblCellMar>
        </w:tblPrEx>
        <w:trPr>
          <w:tblHeader/>
        </w:trPr>
        <w:tc>
          <w:tcPr>
            <w:tcW w:w="660" w:type="dxa"/>
            <w:vMerge w:val="restart"/>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800"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楼层</w:t>
            </w:r>
          </w:p>
        </w:tc>
        <w:tc>
          <w:tcPr>
            <w:tcW w:w="1778"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房间</w:t>
            </w:r>
          </w:p>
        </w:tc>
        <w:tc>
          <w:tcPr>
            <w:tcW w:w="5811" w:type="dxa"/>
            <w:gridSpan w:val="5"/>
            <w:tcBorders>
              <w:top w:val="double" w:color="auto" w:sz="6" w:space="0"/>
              <w:left w:val="nil"/>
              <w:bottom w:val="single" w:color="auto" w:sz="4" w:space="0"/>
              <w:right w:val="double" w:color="000000"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面积（㎡）</w:t>
            </w:r>
          </w:p>
        </w:tc>
      </w:tr>
      <w:tr>
        <w:tblPrEx>
          <w:tblCellMar>
            <w:top w:w="0" w:type="dxa"/>
            <w:left w:w="108" w:type="dxa"/>
            <w:bottom w:w="0" w:type="dxa"/>
            <w:right w:w="108" w:type="dxa"/>
          </w:tblCellMar>
        </w:tblPrEx>
        <w:trPr>
          <w:tblHeader/>
        </w:trPr>
        <w:tc>
          <w:tcPr>
            <w:tcW w:w="660" w:type="dxa"/>
            <w:vMerge w:val="continue"/>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800"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778"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主机房区</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辅助区</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支持区</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行政管理区</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一层</w:t>
            </w: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门厅</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318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612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91</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130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59</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63</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安防控制室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消防控制室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385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湿式报警阀室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33</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包含主机房和配电室空调风柜房。</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37</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二层</w:t>
            </w: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620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177</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电池室三</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83</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电池室四</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维修间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60</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149</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第二阶段建设，包含主机房和配电室空调风柜房。</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37</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三层</w:t>
            </w: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650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635.5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3#变配电室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5#变配电室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111</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第二阶段建设。</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维修间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配电室空调风柜房。</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37</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四层</w:t>
            </w: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270</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50</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56</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设备间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工作用房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31</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会议室一</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会议室二</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会见室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60</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37</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800"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五层</w:t>
            </w: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150</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办公室</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69</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开放办公区</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626</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低压泵房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电梯机房</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08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746"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b/>
                <w:bCs/>
                <w:kern w:val="0"/>
                <w:sz w:val="21"/>
                <w:szCs w:val="21"/>
              </w:rPr>
            </w:pPr>
          </w:p>
        </w:tc>
        <w:tc>
          <w:tcPr>
            <w:tcW w:w="177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088"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3"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37</w:t>
            </w:r>
          </w:p>
        </w:tc>
        <w:tc>
          <w:tcPr>
            <w:tcW w:w="1746"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rPr>
          <w:color w:val="auto"/>
        </w:rPr>
      </w:pPr>
      <w:r>
        <w:rPr>
          <w:rFonts w:hint="eastAsia"/>
          <w:color w:val="auto"/>
        </w:rPr>
        <w:t>云计算中心平面功能间布局说明</w:t>
      </w:r>
    </w:p>
    <w:p>
      <w:pPr>
        <w:pStyle w:val="135"/>
        <w:numPr>
          <w:ilvl w:val="2"/>
          <w:numId w:val="65"/>
        </w:numPr>
        <w:spacing w:before="120"/>
        <w:ind w:left="0" w:firstLine="482"/>
        <w:rPr>
          <w:rFonts w:hAnsi="宋体" w:cs="Arial"/>
          <w:b/>
          <w:bCs/>
        </w:rPr>
      </w:pPr>
      <w:r>
        <w:rPr>
          <w:rFonts w:hint="eastAsia" w:hAnsi="宋体" w:cs="Arial"/>
          <w:b/>
          <w:bCs/>
        </w:rPr>
        <w:t>一层布局：</w:t>
      </w:r>
    </w:p>
    <w:p>
      <w:pPr>
        <w:pStyle w:val="135"/>
        <w:numPr>
          <w:ilvl w:val="1"/>
          <w:numId w:val="66"/>
        </w:numPr>
        <w:ind w:left="0" w:firstLine="420" w:firstLineChars="175"/>
        <w:rPr>
          <w:rFonts w:hAnsi="宋体" w:cs="Arial"/>
        </w:rPr>
      </w:pPr>
      <w:r>
        <w:rPr>
          <w:rFonts w:hint="eastAsia" w:hAnsi="宋体" w:cs="Arial"/>
        </w:rPr>
        <w:t>主机房区：该区域面积合计612㎡，主要为主机房A；</w:t>
      </w:r>
    </w:p>
    <w:p>
      <w:pPr>
        <w:pStyle w:val="135"/>
        <w:numPr>
          <w:ilvl w:val="1"/>
          <w:numId w:val="66"/>
        </w:numPr>
        <w:ind w:left="0" w:firstLine="420" w:firstLineChars="175"/>
        <w:rPr>
          <w:rFonts w:hAnsi="宋体" w:cs="Arial"/>
        </w:rPr>
      </w:pPr>
      <w:r>
        <w:rPr>
          <w:rFonts w:hint="eastAsia" w:hAnsi="宋体" w:cs="Arial"/>
        </w:rPr>
        <w:t>辅助区:该区域面积合计108㎡，主要为运营商接入间、备件间；</w:t>
      </w:r>
    </w:p>
    <w:p>
      <w:pPr>
        <w:pStyle w:val="135"/>
        <w:numPr>
          <w:ilvl w:val="1"/>
          <w:numId w:val="66"/>
        </w:numPr>
        <w:ind w:left="0" w:firstLine="420" w:firstLineChars="175"/>
        <w:rPr>
          <w:rFonts w:hAnsi="宋体" w:cs="Arial"/>
        </w:rPr>
      </w:pPr>
      <w:r>
        <w:rPr>
          <w:rFonts w:hint="eastAsia" w:hAnsi="宋体" w:cs="Arial"/>
        </w:rPr>
        <w:t>支持区：该区域面积合计1293㎡，主要为UPS变配电间、高压配电室、电池室、安防控制室、消防控制室、制冷机房、排烟机房、新风兼事故排风机房、弱电间、消防气瓶间、湿式报警阀室、空调风柜房、强电间；</w:t>
      </w:r>
    </w:p>
    <w:p>
      <w:pPr>
        <w:pStyle w:val="135"/>
        <w:numPr>
          <w:ilvl w:val="1"/>
          <w:numId w:val="66"/>
        </w:numPr>
        <w:ind w:left="0" w:firstLine="420" w:firstLineChars="175"/>
        <w:rPr>
          <w:rFonts w:hAnsi="宋体" w:cs="Arial"/>
        </w:rPr>
      </w:pPr>
      <w:r>
        <w:rPr>
          <w:rFonts w:hint="eastAsia" w:hAnsi="宋体" w:cs="Arial"/>
        </w:rPr>
        <w:t>行政管理区：该区域面积合计393㎡，门厅、值班室、卫生间。</w:t>
      </w:r>
    </w:p>
    <w:p>
      <w:pPr>
        <w:pStyle w:val="135"/>
        <w:numPr>
          <w:ilvl w:val="2"/>
          <w:numId w:val="65"/>
        </w:numPr>
        <w:spacing w:before="120"/>
        <w:ind w:left="0" w:firstLine="482"/>
        <w:rPr>
          <w:rFonts w:hAnsi="宋体" w:cs="Arial"/>
          <w:b/>
          <w:bCs/>
        </w:rPr>
      </w:pPr>
      <w:r>
        <w:rPr>
          <w:rFonts w:hint="eastAsia" w:hAnsi="宋体" w:cs="Arial"/>
          <w:b/>
          <w:bCs/>
        </w:rPr>
        <w:t>二层布局：</w:t>
      </w:r>
    </w:p>
    <w:p>
      <w:pPr>
        <w:pStyle w:val="135"/>
        <w:numPr>
          <w:ilvl w:val="1"/>
          <w:numId w:val="67"/>
        </w:numPr>
        <w:ind w:left="0" w:firstLine="420" w:firstLineChars="175"/>
        <w:rPr>
          <w:rFonts w:hAnsi="宋体" w:cs="Arial"/>
        </w:rPr>
      </w:pPr>
      <w:r>
        <w:rPr>
          <w:rFonts w:hint="eastAsia" w:hAnsi="宋体" w:cs="Arial"/>
        </w:rPr>
        <w:t>主机房区：该区域面积合计1250.6㎡，主要为主机房B、C、核心网络机房、非标机房、等保四级机房；</w:t>
      </w:r>
    </w:p>
    <w:p>
      <w:pPr>
        <w:pStyle w:val="135"/>
        <w:numPr>
          <w:ilvl w:val="1"/>
          <w:numId w:val="67"/>
        </w:numPr>
        <w:ind w:left="0" w:firstLine="420" w:firstLineChars="175"/>
        <w:rPr>
          <w:rFonts w:hAnsi="宋体" w:cs="Arial"/>
        </w:rPr>
      </w:pPr>
      <w:r>
        <w:rPr>
          <w:rFonts w:hint="eastAsia" w:hAnsi="宋体" w:cs="Arial"/>
        </w:rPr>
        <w:t>辅助区：该区域面积合计74㎡，主要为维修间、备件间；</w:t>
      </w:r>
    </w:p>
    <w:p>
      <w:pPr>
        <w:pStyle w:val="135"/>
        <w:numPr>
          <w:ilvl w:val="1"/>
          <w:numId w:val="67"/>
        </w:numPr>
        <w:ind w:left="0" w:firstLine="420" w:firstLineChars="175"/>
        <w:rPr>
          <w:rFonts w:hAnsi="宋体" w:cs="Arial"/>
        </w:rPr>
      </w:pPr>
      <w:r>
        <w:rPr>
          <w:rFonts w:hint="eastAsia" w:hAnsi="宋体" w:cs="Arial"/>
        </w:rPr>
        <w:t>支持区：该区域面积合计859㎡，主要为变配电室、UPS配电间、电池室、消防气瓶间、排烟机房、空调风柜房、新风兼事故排风机房、弱电间、强电间；</w:t>
      </w:r>
    </w:p>
    <w:p>
      <w:pPr>
        <w:pStyle w:val="135"/>
        <w:numPr>
          <w:ilvl w:val="1"/>
          <w:numId w:val="67"/>
        </w:numPr>
        <w:ind w:left="0" w:firstLine="420" w:firstLineChars="175"/>
        <w:rPr>
          <w:rFonts w:hAnsi="宋体" w:cs="Arial"/>
        </w:rPr>
      </w:pPr>
      <w:r>
        <w:rPr>
          <w:rFonts w:hint="eastAsia" w:hAnsi="宋体" w:cs="Arial"/>
        </w:rPr>
        <w:t>行政管理区：该区域面积合计37㎡，主要为卫生间。</w:t>
      </w:r>
    </w:p>
    <w:p>
      <w:pPr>
        <w:pStyle w:val="135"/>
        <w:numPr>
          <w:ilvl w:val="2"/>
          <w:numId w:val="65"/>
        </w:numPr>
        <w:spacing w:before="120"/>
        <w:ind w:left="0" w:firstLine="482"/>
        <w:rPr>
          <w:rFonts w:hAnsi="宋体" w:cs="Arial"/>
          <w:b/>
          <w:bCs/>
        </w:rPr>
      </w:pPr>
      <w:r>
        <w:rPr>
          <w:rFonts w:hint="eastAsia" w:hAnsi="宋体" w:cs="Arial"/>
          <w:b/>
          <w:bCs/>
        </w:rPr>
        <w:t>三层布局：</w:t>
      </w:r>
    </w:p>
    <w:p>
      <w:pPr>
        <w:ind w:firstLine="480" w:firstLineChars="200"/>
        <w:rPr>
          <w:rFonts w:hAnsi="宋体" w:cs="Arial"/>
        </w:rPr>
      </w:pPr>
      <w:r>
        <w:rPr>
          <w:rFonts w:hint="eastAsia" w:hAnsi="宋体" w:cs="Arial"/>
        </w:rPr>
        <w:t>三层主要为微模块机房建设区域。</w:t>
      </w:r>
    </w:p>
    <w:p>
      <w:pPr>
        <w:pStyle w:val="135"/>
        <w:numPr>
          <w:ilvl w:val="1"/>
          <w:numId w:val="68"/>
        </w:numPr>
        <w:ind w:left="0" w:firstLine="420" w:firstLineChars="175"/>
        <w:rPr>
          <w:rFonts w:hAnsi="宋体" w:cs="Arial"/>
        </w:rPr>
      </w:pPr>
      <w:r>
        <w:rPr>
          <w:rFonts w:hint="eastAsia" w:hAnsi="宋体" w:cs="Arial"/>
        </w:rPr>
        <w:t>主机房区：该区域面积合计1305.5㎡，主要为主机房D、E、核心网络机房；</w:t>
      </w:r>
    </w:p>
    <w:p>
      <w:pPr>
        <w:pStyle w:val="135"/>
        <w:numPr>
          <w:ilvl w:val="1"/>
          <w:numId w:val="68"/>
        </w:numPr>
        <w:ind w:left="0" w:firstLine="420" w:firstLineChars="175"/>
        <w:rPr>
          <w:rFonts w:hAnsi="宋体" w:cs="Arial"/>
        </w:rPr>
      </w:pPr>
      <w:r>
        <w:rPr>
          <w:rFonts w:hint="eastAsia" w:hAnsi="宋体" w:cs="Arial"/>
        </w:rPr>
        <w:t>辅助区：该区域面积合计34㎡，主要为维修间、备件间；</w:t>
      </w:r>
    </w:p>
    <w:p>
      <w:pPr>
        <w:pStyle w:val="135"/>
        <w:numPr>
          <w:ilvl w:val="1"/>
          <w:numId w:val="68"/>
        </w:numPr>
        <w:ind w:left="0" w:firstLine="420" w:firstLineChars="175"/>
        <w:rPr>
          <w:rFonts w:hAnsi="宋体" w:cs="Arial"/>
        </w:rPr>
      </w:pPr>
      <w:r>
        <w:rPr>
          <w:rFonts w:hint="eastAsia" w:hAnsi="宋体" w:cs="Arial"/>
        </w:rPr>
        <w:t>支持区：该区域面积合计355㎡，主要为变配电室、消防气瓶间、新风兼事故排风机房、排烟机房、空调风柜房、弱电间、强电间；</w:t>
      </w:r>
    </w:p>
    <w:p>
      <w:pPr>
        <w:pStyle w:val="135"/>
        <w:numPr>
          <w:ilvl w:val="1"/>
          <w:numId w:val="68"/>
        </w:numPr>
        <w:ind w:left="0" w:firstLine="420" w:firstLineChars="175"/>
        <w:rPr>
          <w:rFonts w:hAnsi="宋体" w:cs="Arial"/>
        </w:rPr>
      </w:pPr>
      <w:r>
        <w:rPr>
          <w:rFonts w:hint="eastAsia" w:hAnsi="宋体" w:cs="Arial"/>
        </w:rPr>
        <w:t>行政管理区：该区域面积合计37㎡，主要为卫生间。</w:t>
      </w:r>
    </w:p>
    <w:p>
      <w:pPr>
        <w:pStyle w:val="135"/>
        <w:numPr>
          <w:ilvl w:val="2"/>
          <w:numId w:val="65"/>
        </w:numPr>
        <w:spacing w:before="120"/>
        <w:ind w:left="0" w:firstLine="482"/>
        <w:rPr>
          <w:rFonts w:hAnsi="宋体" w:cs="Arial"/>
          <w:b/>
          <w:bCs/>
        </w:rPr>
      </w:pPr>
      <w:r>
        <w:rPr>
          <w:rFonts w:hint="eastAsia" w:hAnsi="宋体" w:cs="Arial"/>
          <w:b/>
          <w:bCs/>
        </w:rPr>
        <w:t>四层布局：</w:t>
      </w:r>
    </w:p>
    <w:p>
      <w:pPr>
        <w:pStyle w:val="135"/>
        <w:numPr>
          <w:ilvl w:val="1"/>
          <w:numId w:val="69"/>
        </w:numPr>
        <w:ind w:left="0" w:firstLine="420" w:firstLineChars="175"/>
        <w:rPr>
          <w:rFonts w:hAnsi="宋体" w:cs="Arial"/>
        </w:rPr>
      </w:pPr>
      <w:r>
        <w:rPr>
          <w:rFonts w:hint="eastAsia" w:hAnsi="宋体" w:cs="Arial"/>
        </w:rPr>
        <w:t>主机房区：该区域面积合计125㎡，主要为主机房F；</w:t>
      </w:r>
    </w:p>
    <w:p>
      <w:pPr>
        <w:pStyle w:val="135"/>
        <w:numPr>
          <w:ilvl w:val="1"/>
          <w:numId w:val="69"/>
        </w:numPr>
        <w:ind w:left="0" w:firstLine="420" w:firstLineChars="175"/>
        <w:rPr>
          <w:rFonts w:hAnsi="宋体" w:cs="Arial"/>
        </w:rPr>
      </w:pPr>
      <w:r>
        <w:rPr>
          <w:rFonts w:hint="eastAsia" w:hAnsi="宋体" w:cs="Arial"/>
        </w:rPr>
        <w:t>辅助区：该区域面积合计376㎡，主要为监控中心（ECC）、测试机房；</w:t>
      </w:r>
    </w:p>
    <w:p>
      <w:pPr>
        <w:pStyle w:val="135"/>
        <w:numPr>
          <w:ilvl w:val="1"/>
          <w:numId w:val="69"/>
        </w:numPr>
        <w:ind w:left="0" w:firstLine="420" w:firstLineChars="175"/>
        <w:rPr>
          <w:rFonts w:hAnsi="宋体" w:cs="Arial"/>
        </w:rPr>
      </w:pPr>
      <w:r>
        <w:rPr>
          <w:rFonts w:hint="eastAsia" w:hAnsi="宋体" w:cs="Arial"/>
        </w:rPr>
        <w:t>支持区：该区域面积合计29㎡，主要为弱电间、强电间、排烟机房；</w:t>
      </w:r>
    </w:p>
    <w:p>
      <w:pPr>
        <w:pStyle w:val="135"/>
        <w:numPr>
          <w:ilvl w:val="1"/>
          <w:numId w:val="69"/>
        </w:numPr>
        <w:ind w:left="0" w:firstLine="420" w:firstLineChars="175"/>
        <w:rPr>
          <w:rFonts w:hAnsi="宋体" w:cs="Arial"/>
        </w:rPr>
      </w:pPr>
      <w:r>
        <w:rPr>
          <w:rFonts w:hint="eastAsia" w:hAnsi="宋体" w:cs="Arial"/>
        </w:rPr>
        <w:t>行政管理区：该区域面积合计379㎡，主要为值班室、设备间、工作用房、会议室、会见室、卫生间。</w:t>
      </w:r>
    </w:p>
    <w:p>
      <w:pPr>
        <w:pStyle w:val="135"/>
        <w:numPr>
          <w:ilvl w:val="2"/>
          <w:numId w:val="65"/>
        </w:numPr>
        <w:spacing w:before="120"/>
        <w:ind w:left="0" w:firstLine="482"/>
        <w:rPr>
          <w:rFonts w:hAnsi="宋体" w:cs="Arial"/>
          <w:b/>
          <w:bCs/>
        </w:rPr>
      </w:pPr>
      <w:r>
        <w:rPr>
          <w:rFonts w:hint="eastAsia" w:hAnsi="宋体" w:cs="Arial"/>
          <w:b/>
          <w:bCs/>
        </w:rPr>
        <w:t>五层布局：</w:t>
      </w:r>
    </w:p>
    <w:p>
      <w:pPr>
        <w:pStyle w:val="135"/>
        <w:numPr>
          <w:ilvl w:val="1"/>
          <w:numId w:val="70"/>
        </w:numPr>
        <w:ind w:left="0" w:firstLine="420" w:firstLineChars="175"/>
        <w:rPr>
          <w:rFonts w:hAnsi="宋体" w:cs="Arial"/>
        </w:rPr>
      </w:pPr>
      <w:r>
        <w:rPr>
          <w:rFonts w:hint="eastAsia" w:hAnsi="宋体" w:cs="Arial"/>
        </w:rPr>
        <w:t>支持区：该区域面积合计14㎡，主要为低压泵房；</w:t>
      </w:r>
    </w:p>
    <w:p>
      <w:pPr>
        <w:pStyle w:val="135"/>
        <w:numPr>
          <w:ilvl w:val="1"/>
          <w:numId w:val="70"/>
        </w:numPr>
        <w:ind w:left="0" w:firstLine="420" w:firstLineChars="175"/>
        <w:rPr>
          <w:rFonts w:hAnsi="宋体" w:cs="Arial"/>
        </w:rPr>
      </w:pPr>
      <w:r>
        <w:rPr>
          <w:rFonts w:hint="eastAsia" w:hAnsi="宋体" w:cs="Arial"/>
        </w:rPr>
        <w:t>行政管理区：该区域面积合计939㎡，主要为值班室、办公室、开放办公区、新风兼事故排风机、电梯机房、弱电间、强电间、卫生间。</w:t>
      </w:r>
    </w:p>
    <w:p>
      <w:pPr>
        <w:pStyle w:val="5"/>
      </w:pPr>
      <w:bookmarkStart w:id="16" w:name="_Toc32086"/>
      <w:r>
        <w:rPr>
          <w:rFonts w:hint="eastAsia"/>
        </w:rPr>
        <w:t>数据中心机柜数量及分布</w:t>
      </w:r>
      <w:bookmarkEnd w:id="16"/>
    </w:p>
    <w:p>
      <w:pPr>
        <w:ind w:firstLine="480" w:firstLineChars="200"/>
        <w:rPr>
          <w:rFonts w:hAnsi="宋体" w:cs="Arial"/>
        </w:rPr>
      </w:pPr>
      <w:r>
        <w:rPr>
          <w:rFonts w:hint="eastAsia" w:hAnsi="宋体" w:cs="Arial"/>
        </w:rPr>
        <w:t>数字福建云计算中心（政务云）主楼建筑分一层、二层主机房为传统机房，三层、四层机房为微模块机房，其中：</w:t>
      </w:r>
    </w:p>
    <w:p>
      <w:pPr>
        <w:ind w:firstLine="480" w:firstLineChars="200"/>
        <w:rPr>
          <w:rFonts w:hAnsi="宋体" w:cs="Arial"/>
        </w:rPr>
      </w:pPr>
      <w:r>
        <w:rPr>
          <w:rFonts w:hint="eastAsia" w:hAnsi="宋体" w:cs="Arial"/>
        </w:rPr>
        <w:t>第一阶段主要涉及一层主机房A、三层微模块机房D、四层微模块机房F建设，共建设服务器机柜456个、配电柜33个、UPS柜36个、蓄电池柜40个、空调柜63个，以及配套8组传统密闭冷通道和11套微模块冷通道；</w:t>
      </w:r>
    </w:p>
    <w:p>
      <w:pPr>
        <w:ind w:firstLine="480" w:firstLineChars="200"/>
        <w:rPr>
          <w:rFonts w:hAnsi="宋体" w:cs="Arial"/>
        </w:rPr>
      </w:pPr>
      <w:r>
        <w:rPr>
          <w:rFonts w:hint="eastAsia" w:hAnsi="宋体" w:cs="Arial"/>
        </w:rPr>
        <w:t>第二阶段主要涉及二层主机房B、C、等保机房、非标机房、三层微模块机房E建设，共建设服务器机柜661个、配电柜61个、UPS柜36个、蓄电池柜60个、空调柜103个，以及配套8组传统密闭冷通道和17套微模块冷通道。</w:t>
      </w:r>
    </w:p>
    <w:p>
      <w:pPr>
        <w:pStyle w:val="11"/>
      </w:pPr>
      <w:bookmarkStart w:id="17" w:name="_Toc165045245"/>
      <w:r>
        <w:rPr>
          <w:rFonts w:hint="eastAsia"/>
        </w:rPr>
        <w:t>机柜数量统计表</w:t>
      </w:r>
      <w:bookmarkEnd w:id="17"/>
    </w:p>
    <w:tbl>
      <w:tblPr>
        <w:tblStyle w:val="75"/>
        <w:tblW w:w="9050" w:type="dxa"/>
        <w:tblInd w:w="0" w:type="dxa"/>
        <w:tblLayout w:type="autofit"/>
        <w:tblCellMar>
          <w:top w:w="0" w:type="dxa"/>
          <w:left w:w="108" w:type="dxa"/>
          <w:bottom w:w="0" w:type="dxa"/>
          <w:right w:w="108" w:type="dxa"/>
        </w:tblCellMar>
      </w:tblPr>
      <w:tblGrid>
        <w:gridCol w:w="686"/>
        <w:gridCol w:w="851"/>
        <w:gridCol w:w="1542"/>
        <w:gridCol w:w="1040"/>
        <w:gridCol w:w="962"/>
        <w:gridCol w:w="850"/>
        <w:gridCol w:w="1123"/>
        <w:gridCol w:w="851"/>
        <w:gridCol w:w="1145"/>
      </w:tblGrid>
      <w:tr>
        <w:tblPrEx>
          <w:tblCellMar>
            <w:top w:w="0" w:type="dxa"/>
            <w:left w:w="108" w:type="dxa"/>
            <w:bottom w:w="0" w:type="dxa"/>
            <w:right w:w="108" w:type="dxa"/>
          </w:tblCellMar>
        </w:tblPrEx>
        <w:trPr>
          <w:tblHeader/>
        </w:trPr>
        <w:tc>
          <w:tcPr>
            <w:tcW w:w="686" w:type="dxa"/>
            <w:vMerge w:val="restart"/>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851"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楼层</w:t>
            </w:r>
          </w:p>
        </w:tc>
        <w:tc>
          <w:tcPr>
            <w:tcW w:w="1542"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机房名称</w:t>
            </w:r>
          </w:p>
        </w:tc>
        <w:tc>
          <w:tcPr>
            <w:tcW w:w="4826" w:type="dxa"/>
            <w:gridSpan w:val="5"/>
            <w:tcBorders>
              <w:top w:val="double" w:color="auto" w:sz="6" w:space="0"/>
              <w:left w:val="nil"/>
              <w:bottom w:val="single" w:color="auto" w:sz="4" w:space="0"/>
              <w:right w:val="single" w:color="auto" w:sz="4" w:space="0"/>
            </w:tcBorders>
            <w:shd w:val="clear" w:color="auto" w:fill="auto"/>
            <w:vAlign w:val="bottom"/>
          </w:tcPr>
          <w:p>
            <w:pPr>
              <w:widowControl/>
              <w:spacing w:line="360" w:lineRule="exact"/>
              <w:jc w:val="center"/>
              <w:rPr>
                <w:rFonts w:hAnsi="宋体" w:cs="宋体"/>
                <w:b/>
                <w:bCs/>
                <w:kern w:val="0"/>
                <w:sz w:val="21"/>
                <w:szCs w:val="21"/>
              </w:rPr>
            </w:pPr>
            <w:r>
              <w:rPr>
                <w:rFonts w:hint="eastAsia" w:hAnsi="宋体" w:cs="宋体"/>
                <w:b/>
                <w:bCs/>
                <w:kern w:val="0"/>
                <w:sz w:val="21"/>
                <w:szCs w:val="21"/>
              </w:rPr>
              <w:t>机柜类型</w:t>
            </w:r>
          </w:p>
        </w:tc>
        <w:tc>
          <w:tcPr>
            <w:tcW w:w="1145" w:type="dxa"/>
            <w:vMerge w:val="restart"/>
            <w:tcBorders>
              <w:top w:val="double" w:color="auto" w:sz="6" w:space="0"/>
              <w:left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rPr>
          <w:tblHeader/>
        </w:trPr>
        <w:tc>
          <w:tcPr>
            <w:tcW w:w="686" w:type="dxa"/>
            <w:vMerge w:val="continue"/>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851"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542"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服务器机柜</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配电柜</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UPS柜</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蓄电池柜</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空调柜</w:t>
            </w:r>
          </w:p>
        </w:tc>
        <w:tc>
          <w:tcPr>
            <w:tcW w:w="1145" w:type="dxa"/>
            <w:vMerge w:val="continue"/>
            <w:tcBorders>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b/>
                <w:bCs/>
                <w:kern w:val="0"/>
                <w:sz w:val="21"/>
                <w:szCs w:val="21"/>
              </w:rPr>
            </w:pP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一层</w:t>
            </w: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258</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二层</w:t>
            </w: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201</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第二阶段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232</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第二阶段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38</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第二阶段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第二阶段</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三层</w:t>
            </w: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160</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32</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182</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56</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42</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第二阶段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四层</w:t>
            </w: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42"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104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3"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45"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第一阶段</w:t>
            </w:r>
          </w:p>
        </w:tc>
      </w:tr>
      <w:tr>
        <w:tblPrEx>
          <w:tblCellMar>
            <w:top w:w="0" w:type="dxa"/>
            <w:left w:w="108" w:type="dxa"/>
            <w:bottom w:w="0" w:type="dxa"/>
            <w:right w:w="108" w:type="dxa"/>
          </w:tblCellMar>
        </w:tblPrEx>
        <w:tc>
          <w:tcPr>
            <w:tcW w:w="686"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393" w:type="dxa"/>
            <w:gridSpan w:val="2"/>
            <w:tcBorders>
              <w:top w:val="single" w:color="auto" w:sz="4" w:space="0"/>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104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1117</w:t>
            </w:r>
          </w:p>
        </w:tc>
        <w:tc>
          <w:tcPr>
            <w:tcW w:w="96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94</w:t>
            </w:r>
          </w:p>
        </w:tc>
        <w:tc>
          <w:tcPr>
            <w:tcW w:w="85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36</w:t>
            </w:r>
          </w:p>
        </w:tc>
        <w:tc>
          <w:tcPr>
            <w:tcW w:w="1123"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100</w:t>
            </w:r>
          </w:p>
        </w:tc>
        <w:tc>
          <w:tcPr>
            <w:tcW w:w="851"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166</w:t>
            </w:r>
          </w:p>
        </w:tc>
        <w:tc>
          <w:tcPr>
            <w:tcW w:w="1145" w:type="dxa"/>
            <w:tcBorders>
              <w:top w:val="nil"/>
              <w:left w:val="nil"/>
              <w:bottom w:val="double" w:color="auto" w:sz="6"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bl>
    <w:p>
      <w:pPr>
        <w:pStyle w:val="5"/>
      </w:pPr>
      <w:bookmarkStart w:id="18" w:name="_Toc1833"/>
      <w:r>
        <w:rPr>
          <w:rFonts w:hint="eastAsia"/>
        </w:rPr>
        <w:t>机房通风空调系统</w:t>
      </w:r>
      <w:bookmarkEnd w:id="18"/>
    </w:p>
    <w:p>
      <w:pPr>
        <w:ind w:firstLine="480" w:firstLineChars="200"/>
        <w:rPr>
          <w:rFonts w:hAnsi="宋体" w:cs="Arial"/>
        </w:rPr>
      </w:pPr>
      <w:r>
        <w:rPr>
          <w:rFonts w:hint="eastAsia" w:hAnsi="宋体" w:cs="Arial"/>
        </w:rPr>
        <w:t>数据中心一至三楼各配置一组新风处理机组，并对变配电室空调风柜房。除一楼主机房A是传统机房采用恒温恒湿空调机组及湿膜恒湿机进行制冷外，其余二至四层主机房主要采用列间空调。通过空调冷却系统维持机柜内部的环境温度 22℃~25℃，回风温度小于 35℃；进水温度为 12℃，出水温度为 18℃。</w:t>
      </w:r>
    </w:p>
    <w:p>
      <w:pPr>
        <w:pStyle w:val="11"/>
      </w:pPr>
      <w:bookmarkStart w:id="19" w:name="_Toc165045246"/>
      <w:r>
        <w:rPr>
          <w:rFonts w:hint="eastAsia"/>
        </w:rPr>
        <w:t>机房通风空调系统设备统计表</w:t>
      </w:r>
      <w:bookmarkEnd w:id="19"/>
    </w:p>
    <w:tbl>
      <w:tblPr>
        <w:tblStyle w:val="75"/>
        <w:tblW w:w="9049" w:type="dxa"/>
        <w:tblInd w:w="0" w:type="dxa"/>
        <w:tblLayout w:type="autofit"/>
        <w:tblCellMar>
          <w:top w:w="0" w:type="dxa"/>
          <w:left w:w="108" w:type="dxa"/>
          <w:bottom w:w="0" w:type="dxa"/>
          <w:right w:w="108" w:type="dxa"/>
        </w:tblCellMar>
      </w:tblPr>
      <w:tblGrid>
        <w:gridCol w:w="740"/>
        <w:gridCol w:w="840"/>
        <w:gridCol w:w="1580"/>
        <w:gridCol w:w="786"/>
        <w:gridCol w:w="709"/>
        <w:gridCol w:w="709"/>
        <w:gridCol w:w="708"/>
        <w:gridCol w:w="709"/>
        <w:gridCol w:w="709"/>
        <w:gridCol w:w="709"/>
        <w:gridCol w:w="850"/>
      </w:tblGrid>
      <w:tr>
        <w:tblPrEx>
          <w:tblCellMar>
            <w:top w:w="0" w:type="dxa"/>
            <w:left w:w="108" w:type="dxa"/>
            <w:bottom w:w="0" w:type="dxa"/>
            <w:right w:w="108" w:type="dxa"/>
          </w:tblCellMar>
        </w:tblPrEx>
        <w:trPr>
          <w:tblHeader/>
        </w:trPr>
        <w:tc>
          <w:tcPr>
            <w:tcW w:w="7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84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楼层</w:t>
            </w:r>
          </w:p>
        </w:tc>
        <w:tc>
          <w:tcPr>
            <w:tcW w:w="15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房间</w:t>
            </w:r>
          </w:p>
        </w:tc>
        <w:tc>
          <w:tcPr>
            <w:tcW w:w="78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柜式空气处理机组</w:t>
            </w:r>
          </w:p>
        </w:tc>
        <w:tc>
          <w:tcPr>
            <w:tcW w:w="7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新风处理机组</w:t>
            </w:r>
          </w:p>
        </w:tc>
        <w:tc>
          <w:tcPr>
            <w:tcW w:w="7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湿膜恒湿机</w:t>
            </w:r>
          </w:p>
        </w:tc>
        <w:tc>
          <w:tcPr>
            <w:tcW w:w="70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恒温恒湿空调机组</w:t>
            </w:r>
          </w:p>
        </w:tc>
        <w:tc>
          <w:tcPr>
            <w:tcW w:w="7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风冷机房精密空调</w:t>
            </w:r>
          </w:p>
        </w:tc>
        <w:tc>
          <w:tcPr>
            <w:tcW w:w="7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列间空调</w:t>
            </w:r>
          </w:p>
        </w:tc>
        <w:tc>
          <w:tcPr>
            <w:tcW w:w="7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CDU</w:t>
            </w:r>
          </w:p>
        </w:tc>
        <w:tc>
          <w:tcPr>
            <w:tcW w:w="85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7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4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一层</w:t>
            </w: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1F高压配电室</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2台普通空调</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UPS变配电室一空调风柜房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4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二层</w:t>
            </w: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2F主机房C空调风柜房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等保机房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84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三层</w:t>
            </w: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CDU位于E3区</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主机房水管间</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D机房8台CDU，E机房6台CDU</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3#变配电室空调风柜房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5#变配电室空调风柜房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4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四层</w:t>
            </w: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4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b/>
                <w:bCs/>
                <w:kern w:val="0"/>
                <w:sz w:val="21"/>
                <w:szCs w:val="21"/>
              </w:rPr>
            </w:pPr>
          </w:p>
        </w:tc>
        <w:tc>
          <w:tcPr>
            <w:tcW w:w="15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78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8"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709"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3160" w:type="dxa"/>
            <w:gridSpan w:val="3"/>
            <w:tcBorders>
              <w:top w:val="single" w:color="auto" w:sz="4" w:space="0"/>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786"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16</w:t>
            </w:r>
          </w:p>
        </w:tc>
        <w:tc>
          <w:tcPr>
            <w:tcW w:w="709"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w:t>
            </w:r>
          </w:p>
        </w:tc>
        <w:tc>
          <w:tcPr>
            <w:tcW w:w="709"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20</w:t>
            </w:r>
          </w:p>
        </w:tc>
        <w:tc>
          <w:tcPr>
            <w:tcW w:w="708"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28</w:t>
            </w:r>
          </w:p>
        </w:tc>
        <w:tc>
          <w:tcPr>
            <w:tcW w:w="709"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w:t>
            </w:r>
          </w:p>
        </w:tc>
        <w:tc>
          <w:tcPr>
            <w:tcW w:w="709"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147</w:t>
            </w:r>
          </w:p>
        </w:tc>
        <w:tc>
          <w:tcPr>
            <w:tcW w:w="709"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29</w:t>
            </w:r>
          </w:p>
        </w:tc>
        <w:tc>
          <w:tcPr>
            <w:tcW w:w="85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5"/>
      </w:pPr>
      <w:bookmarkStart w:id="20" w:name="_Toc26647"/>
      <w:r>
        <w:rPr>
          <w:rFonts w:hint="eastAsia"/>
        </w:rPr>
        <w:t>冷冻水系统</w:t>
      </w:r>
      <w:bookmarkEnd w:id="20"/>
    </w:p>
    <w:p>
      <w:pPr>
        <w:ind w:firstLine="480" w:firstLineChars="200"/>
        <w:rPr>
          <w:rFonts w:hAnsi="宋体" w:cs="Arial"/>
        </w:rPr>
      </w:pPr>
      <w:r>
        <w:rPr>
          <w:rFonts w:hint="eastAsia" w:hAnsi="宋体" w:cs="Arial"/>
        </w:rPr>
        <w:t>主机房、UPS配电间等采用冷冻水型恒温恒湿精密空调，其他区域采用吊装式风机盘管机组，关键区域空调机组采用N+X配置，微模块空调配置模式为每个模块N+20%冷量冗余。采用4台（2台主用大机为水冷离心式冷冻水机组，2台备用小机为水冷螺杆式冷冻水机组）冷冻水机组为末端空调系统提供冷冻水。</w:t>
      </w:r>
    </w:p>
    <w:p>
      <w:pPr>
        <w:ind w:firstLine="480" w:firstLineChars="200"/>
        <w:rPr>
          <w:rFonts w:hAnsi="宋体" w:cs="Arial"/>
        </w:rPr>
      </w:pPr>
      <w:r>
        <w:rPr>
          <w:rFonts w:hint="eastAsia" w:hAnsi="宋体" w:cs="Arial"/>
        </w:rPr>
        <w:t>主机房采用连续制冷系统，保证在市电中断后的15分钟内提供精密空调正常运行所需要的冷源。共配置2套90m³闭式蓄冷罐，蓄冷罐已在第一阶段安装完成。</w:t>
      </w:r>
    </w:p>
    <w:p>
      <w:pPr>
        <w:ind w:firstLine="480" w:firstLineChars="200"/>
        <w:rPr>
          <w:rFonts w:hAnsi="宋体" w:cs="Arial"/>
        </w:rPr>
      </w:pPr>
      <w:r>
        <w:rPr>
          <w:rFonts w:hint="eastAsia" w:hAnsi="宋体" w:cs="Arial"/>
        </w:rPr>
        <w:t>连续制冷所需的二次水泵及主机房空调风机由连续制冷用UPS供电。</w:t>
      </w:r>
    </w:p>
    <w:p>
      <w:pPr>
        <w:ind w:firstLine="480" w:firstLineChars="200"/>
        <w:rPr>
          <w:rFonts w:hAnsi="宋体" w:cs="Arial"/>
        </w:rPr>
      </w:pPr>
      <w:r>
        <w:rPr>
          <w:rFonts w:hint="eastAsia" w:hAnsi="宋体" w:cs="Arial"/>
        </w:rPr>
        <w:t>空调供水系统采用水环网，保证空调同时有两路供水、任何一台设备可实现在线维护，任何一路供水中断不影响系统正常制冷。为适应工况调节，冷冻水供水采用二次泵系统。</w:t>
      </w:r>
    </w:p>
    <w:p>
      <w:pPr>
        <w:pStyle w:val="135"/>
        <w:numPr>
          <w:ilvl w:val="2"/>
          <w:numId w:val="71"/>
        </w:numPr>
        <w:spacing w:before="120"/>
        <w:ind w:left="0" w:firstLine="482"/>
        <w:rPr>
          <w:rFonts w:hAnsi="宋体" w:cs="Arial"/>
          <w:b/>
          <w:bCs/>
        </w:rPr>
      </w:pPr>
      <w:r>
        <w:rPr>
          <w:rFonts w:hint="eastAsia" w:hAnsi="宋体" w:cs="Arial"/>
          <w:b/>
          <w:bCs/>
        </w:rPr>
        <w:t>第一阶段</w:t>
      </w:r>
    </w:p>
    <w:p>
      <w:pPr>
        <w:ind w:firstLine="480" w:firstLineChars="200"/>
        <w:rPr>
          <w:rFonts w:hAnsi="宋体" w:cs="Arial"/>
        </w:rPr>
      </w:pPr>
      <w:r>
        <w:rPr>
          <w:rFonts w:hint="eastAsia" w:hAnsi="宋体" w:cs="Arial"/>
        </w:rPr>
        <w:t>采用1台制冷量不低于875RT的大机水冷离心式冷水机组，2台制冷量不低于440RT的小机水冷螺杆式冷水机组，冷冻水机组供回水温度按照12/18℃选择。冷水机组、水泵房及连续制冷用的蓄水罐安装在冷冻站内。</w:t>
      </w:r>
    </w:p>
    <w:p>
      <w:pPr>
        <w:pStyle w:val="135"/>
        <w:numPr>
          <w:ilvl w:val="2"/>
          <w:numId w:val="71"/>
        </w:numPr>
        <w:spacing w:before="120"/>
        <w:ind w:left="0" w:firstLine="482"/>
        <w:rPr>
          <w:rFonts w:hAnsi="宋体" w:cs="Arial"/>
          <w:b/>
          <w:bCs/>
        </w:rPr>
      </w:pPr>
      <w:r>
        <w:rPr>
          <w:rFonts w:hint="eastAsia" w:hAnsi="宋体" w:cs="Arial"/>
          <w:b/>
          <w:bCs/>
        </w:rPr>
        <w:t>第二阶段</w:t>
      </w:r>
    </w:p>
    <w:p>
      <w:pPr>
        <w:ind w:firstLine="480" w:firstLineChars="200"/>
        <w:rPr>
          <w:rFonts w:hAnsi="宋体" w:cs="Arial"/>
        </w:rPr>
      </w:pPr>
      <w:r>
        <w:rPr>
          <w:rFonts w:hint="eastAsia" w:hAnsi="宋体" w:cs="Arial"/>
        </w:rPr>
        <w:t>采用1台1000RT的大机水冷离心式冷冻水机组。</w:t>
      </w:r>
    </w:p>
    <w:p>
      <w:pPr>
        <w:pStyle w:val="11"/>
      </w:pPr>
      <w:bookmarkStart w:id="21" w:name="_Toc165045247"/>
      <w:r>
        <w:rPr>
          <w:rFonts w:hint="eastAsia"/>
        </w:rPr>
        <w:t>冷冻水系统设备统计表</w:t>
      </w:r>
      <w:bookmarkEnd w:id="21"/>
    </w:p>
    <w:tbl>
      <w:tblPr>
        <w:tblStyle w:val="75"/>
        <w:tblW w:w="9049" w:type="dxa"/>
        <w:tblInd w:w="0" w:type="dxa"/>
        <w:tblLayout w:type="autofit"/>
        <w:tblCellMar>
          <w:top w:w="0" w:type="dxa"/>
          <w:left w:w="108" w:type="dxa"/>
          <w:bottom w:w="0" w:type="dxa"/>
          <w:right w:w="108" w:type="dxa"/>
        </w:tblCellMar>
      </w:tblPr>
      <w:tblGrid>
        <w:gridCol w:w="680"/>
        <w:gridCol w:w="1710"/>
        <w:gridCol w:w="1415"/>
        <w:gridCol w:w="1135"/>
        <w:gridCol w:w="1700"/>
        <w:gridCol w:w="1089"/>
        <w:gridCol w:w="1320"/>
      </w:tblGrid>
      <w:tr>
        <w:tblPrEx>
          <w:tblCellMar>
            <w:top w:w="0" w:type="dxa"/>
            <w:left w:w="108" w:type="dxa"/>
            <w:bottom w:w="0" w:type="dxa"/>
            <w:right w:w="108" w:type="dxa"/>
          </w:tblCellMar>
        </w:tblPrEx>
        <w:trPr>
          <w:trHeight w:val="290" w:hRule="atLeast"/>
          <w:tblHeader/>
        </w:trPr>
        <w:tc>
          <w:tcPr>
            <w:tcW w:w="680" w:type="dxa"/>
            <w:vMerge w:val="restart"/>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710" w:type="dxa"/>
            <w:vMerge w:val="restart"/>
            <w:tcBorders>
              <w:top w:val="double" w:color="auto" w:sz="6" w:space="0"/>
              <w:left w:val="single" w:color="auto" w:sz="4"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设备名称</w:t>
            </w:r>
          </w:p>
        </w:tc>
        <w:tc>
          <w:tcPr>
            <w:tcW w:w="2550" w:type="dxa"/>
            <w:gridSpan w:val="2"/>
            <w:tcBorders>
              <w:top w:val="double" w:color="auto" w:sz="6" w:space="0"/>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一阶段</w:t>
            </w:r>
          </w:p>
        </w:tc>
        <w:tc>
          <w:tcPr>
            <w:tcW w:w="2789" w:type="dxa"/>
            <w:gridSpan w:val="2"/>
            <w:tcBorders>
              <w:top w:val="double" w:color="auto" w:sz="6" w:space="0"/>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二阶段</w:t>
            </w:r>
          </w:p>
        </w:tc>
        <w:tc>
          <w:tcPr>
            <w:tcW w:w="1320" w:type="dxa"/>
            <w:vMerge w:val="restart"/>
            <w:tcBorders>
              <w:top w:val="double" w:color="auto" w:sz="6" w:space="0"/>
              <w:left w:val="single" w:color="auto" w:sz="4" w:space="0"/>
              <w:right w:val="double" w:color="auto" w:sz="6"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r>
      <w:tr>
        <w:tblPrEx>
          <w:tblCellMar>
            <w:top w:w="0" w:type="dxa"/>
            <w:left w:w="108" w:type="dxa"/>
            <w:bottom w:w="0" w:type="dxa"/>
            <w:right w:w="108" w:type="dxa"/>
          </w:tblCellMar>
        </w:tblPrEx>
        <w:trPr>
          <w:trHeight w:val="280" w:hRule="atLeast"/>
          <w:tblHeader/>
        </w:trPr>
        <w:tc>
          <w:tcPr>
            <w:tcW w:w="680" w:type="dxa"/>
            <w:vMerge w:val="continue"/>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710"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所在位置</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所在位置</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320" w:type="dxa"/>
            <w:vMerge w:val="continue"/>
            <w:tcBorders>
              <w:left w:val="single" w:color="auto" w:sz="4" w:space="0"/>
              <w:bottom w:val="single" w:color="auto" w:sz="4" w:space="0"/>
              <w:right w:val="double" w:color="auto" w:sz="6" w:space="0"/>
            </w:tcBorders>
            <w:shd w:val="clear" w:color="auto" w:fill="auto"/>
            <w:vAlign w:val="center"/>
          </w:tcPr>
          <w:p>
            <w:pPr>
              <w:widowControl/>
              <w:spacing w:line="360" w:lineRule="exact"/>
              <w:jc w:val="left"/>
              <w:rPr>
                <w:rFonts w:hAnsi="宋体" w:cs="宋体"/>
                <w:b/>
                <w:bCs/>
                <w:kern w:val="0"/>
                <w:sz w:val="21"/>
                <w:szCs w:val="21"/>
              </w:rPr>
            </w:pPr>
          </w:p>
        </w:tc>
      </w:tr>
      <w:tr>
        <w:tblPrEx>
          <w:tblCellMar>
            <w:top w:w="0" w:type="dxa"/>
            <w:left w:w="108" w:type="dxa"/>
            <w:bottom w:w="0" w:type="dxa"/>
            <w:right w:w="108" w:type="dxa"/>
          </w:tblCellMar>
        </w:tblPrEx>
        <w:trPr>
          <w:trHeight w:val="280" w:hRule="atLeast"/>
        </w:trPr>
        <w:tc>
          <w:tcPr>
            <w:tcW w:w="68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710"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冷水机组</w:t>
            </w: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320" w:type="dxa"/>
            <w:tcBorders>
              <w:top w:val="nil"/>
              <w:left w:val="nil"/>
              <w:bottom w:val="single" w:color="auto" w:sz="4"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r>
      <w:tr>
        <w:tblPrEx>
          <w:tblCellMar>
            <w:top w:w="0" w:type="dxa"/>
            <w:left w:w="108" w:type="dxa"/>
            <w:bottom w:w="0" w:type="dxa"/>
            <w:right w:w="108" w:type="dxa"/>
          </w:tblCellMar>
        </w:tblPrEx>
        <w:trPr>
          <w:trHeight w:val="280" w:hRule="atLeast"/>
        </w:trPr>
        <w:tc>
          <w:tcPr>
            <w:tcW w:w="68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710"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冷却塔</w:t>
            </w: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冷却塔平台</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冷却塔平台</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320" w:type="dxa"/>
            <w:tcBorders>
              <w:top w:val="nil"/>
              <w:left w:val="nil"/>
              <w:bottom w:val="single" w:color="auto" w:sz="4"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r>
      <w:tr>
        <w:tblPrEx>
          <w:tblCellMar>
            <w:top w:w="0" w:type="dxa"/>
            <w:left w:w="108" w:type="dxa"/>
            <w:bottom w:w="0" w:type="dxa"/>
            <w:right w:w="108" w:type="dxa"/>
          </w:tblCellMar>
        </w:tblPrEx>
        <w:trPr>
          <w:trHeight w:val="280" w:hRule="atLeast"/>
        </w:trPr>
        <w:tc>
          <w:tcPr>
            <w:tcW w:w="68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710"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冷却泵</w:t>
            </w: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320" w:type="dxa"/>
            <w:tcBorders>
              <w:top w:val="nil"/>
              <w:left w:val="nil"/>
              <w:bottom w:val="single" w:color="auto" w:sz="4"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r>
      <w:tr>
        <w:tblPrEx>
          <w:tblCellMar>
            <w:top w:w="0" w:type="dxa"/>
            <w:left w:w="108" w:type="dxa"/>
            <w:bottom w:w="0" w:type="dxa"/>
            <w:right w:w="108" w:type="dxa"/>
          </w:tblCellMar>
        </w:tblPrEx>
        <w:trPr>
          <w:trHeight w:val="280" w:hRule="atLeast"/>
        </w:trPr>
        <w:tc>
          <w:tcPr>
            <w:tcW w:w="68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710"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冷冻泵</w:t>
            </w: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320" w:type="dxa"/>
            <w:tcBorders>
              <w:top w:val="nil"/>
              <w:left w:val="nil"/>
              <w:bottom w:val="single" w:color="auto" w:sz="4"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r>
      <w:tr>
        <w:tblPrEx>
          <w:tblCellMar>
            <w:top w:w="0" w:type="dxa"/>
            <w:left w:w="108" w:type="dxa"/>
            <w:bottom w:w="0" w:type="dxa"/>
            <w:right w:w="108" w:type="dxa"/>
          </w:tblCellMar>
        </w:tblPrEx>
        <w:trPr>
          <w:trHeight w:val="280" w:hRule="atLeast"/>
        </w:trPr>
        <w:tc>
          <w:tcPr>
            <w:tcW w:w="68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710" w:type="dxa"/>
            <w:tcBorders>
              <w:top w:val="nil"/>
              <w:left w:val="nil"/>
              <w:bottom w:val="single" w:color="auto" w:sz="4"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蓄冷罐</w:t>
            </w:r>
          </w:p>
        </w:tc>
        <w:tc>
          <w:tcPr>
            <w:tcW w:w="141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135"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700"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089" w:type="dxa"/>
            <w:tcBorders>
              <w:top w:val="nil"/>
              <w:left w:val="nil"/>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p>
        </w:tc>
        <w:tc>
          <w:tcPr>
            <w:tcW w:w="1320" w:type="dxa"/>
            <w:tcBorders>
              <w:top w:val="nil"/>
              <w:left w:val="nil"/>
              <w:bottom w:val="single" w:color="auto" w:sz="4"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rPr>
          <w:trHeight w:val="290" w:hRule="atLeast"/>
        </w:trPr>
        <w:tc>
          <w:tcPr>
            <w:tcW w:w="680" w:type="dxa"/>
            <w:tcBorders>
              <w:top w:val="nil"/>
              <w:left w:val="double" w:color="auto" w:sz="6" w:space="0"/>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710" w:type="dxa"/>
            <w:tcBorders>
              <w:top w:val="nil"/>
              <w:left w:val="nil"/>
              <w:bottom w:val="double" w:color="auto" w:sz="6" w:space="0"/>
              <w:right w:val="single" w:color="auto" w:sz="4" w:space="0"/>
            </w:tcBorders>
            <w:shd w:val="clear" w:color="auto" w:fill="auto"/>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定压补水加药装置</w:t>
            </w:r>
          </w:p>
        </w:tc>
        <w:tc>
          <w:tcPr>
            <w:tcW w:w="1415" w:type="dxa"/>
            <w:tcBorders>
              <w:top w:val="nil"/>
              <w:left w:val="nil"/>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135" w:type="dxa"/>
            <w:tcBorders>
              <w:top w:val="nil"/>
              <w:left w:val="nil"/>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700" w:type="dxa"/>
            <w:tcBorders>
              <w:top w:val="nil"/>
              <w:left w:val="nil"/>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制冷机房</w:t>
            </w:r>
          </w:p>
        </w:tc>
        <w:tc>
          <w:tcPr>
            <w:tcW w:w="1089" w:type="dxa"/>
            <w:tcBorders>
              <w:top w:val="nil"/>
              <w:left w:val="nil"/>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p>
        </w:tc>
        <w:tc>
          <w:tcPr>
            <w:tcW w:w="1320" w:type="dxa"/>
            <w:tcBorders>
              <w:top w:val="nil"/>
              <w:left w:val="nil"/>
              <w:bottom w:val="double" w:color="auto" w:sz="6" w:space="0"/>
              <w:right w:val="double" w:color="auto" w:sz="6"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bl>
    <w:p>
      <w:pPr>
        <w:pStyle w:val="5"/>
      </w:pPr>
      <w:bookmarkStart w:id="22" w:name="_Toc1035"/>
      <w:r>
        <w:rPr>
          <w:rFonts w:hint="eastAsia"/>
        </w:rPr>
        <w:t>机房电气系统</w:t>
      </w:r>
      <w:bookmarkEnd w:id="22"/>
    </w:p>
    <w:p>
      <w:pPr>
        <w:jc w:val="center"/>
        <w:rPr>
          <w:rFonts w:hAnsi="宋体" w:cs="Arial"/>
        </w:rPr>
      </w:pPr>
      <w:r>
        <w:drawing>
          <wp:inline distT="0" distB="0" distL="0" distR="0">
            <wp:extent cx="5759450" cy="2648585"/>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5759450" cy="2648585"/>
                    </a:xfrm>
                    <a:prstGeom prst="rect">
                      <a:avLst/>
                    </a:prstGeom>
                  </pic:spPr>
                </pic:pic>
              </a:graphicData>
            </a:graphic>
          </wp:inline>
        </w:drawing>
      </w:r>
    </w:p>
    <w:p>
      <w:pPr>
        <w:pStyle w:val="10"/>
        <w:numPr>
          <w:ilvl w:val="7"/>
          <w:numId w:val="72"/>
        </w:numPr>
      </w:pPr>
      <w:bookmarkStart w:id="23" w:name="_Toc25935"/>
      <w:r>
        <w:rPr>
          <w:rFonts w:hint="eastAsia"/>
        </w:rPr>
        <w:t>配电系统图</w:t>
      </w:r>
      <w:bookmarkEnd w:id="23"/>
    </w:p>
    <w:p>
      <w:pPr>
        <w:ind w:firstLine="480" w:firstLineChars="200"/>
        <w:rPr>
          <w:rFonts w:hAnsi="宋体" w:cs="Arial"/>
        </w:rPr>
      </w:pPr>
      <w:r>
        <w:rPr>
          <w:rFonts w:hint="eastAsia" w:hAnsi="宋体" w:cs="Arial"/>
        </w:rPr>
        <w:t>云计算中心（政务云）电气设计依据国家A级数据中心标准并参照数据中心电信基础设施标准TIA-942中TierIII级别进行设计建设。</w:t>
      </w:r>
    </w:p>
    <w:p>
      <w:pPr>
        <w:pStyle w:val="135"/>
        <w:numPr>
          <w:ilvl w:val="2"/>
          <w:numId w:val="73"/>
        </w:numPr>
        <w:spacing w:before="120"/>
        <w:ind w:left="0" w:firstLine="482"/>
        <w:rPr>
          <w:rFonts w:hAnsi="宋体" w:cs="Arial"/>
          <w:b/>
          <w:bCs/>
        </w:rPr>
      </w:pPr>
      <w:r>
        <w:rPr>
          <w:rFonts w:hint="eastAsia" w:hAnsi="宋体" w:cs="Arial"/>
          <w:b/>
          <w:bCs/>
        </w:rPr>
        <w:t>第一阶段：</w:t>
      </w:r>
    </w:p>
    <w:p>
      <w:pPr>
        <w:ind w:firstLine="420" w:firstLineChars="175"/>
        <w:rPr>
          <w:rFonts w:hAnsi="宋体" w:cs="Arial"/>
        </w:rPr>
      </w:pPr>
      <w:r>
        <w:rPr>
          <w:rFonts w:hint="eastAsia" w:hAnsi="宋体" w:cs="Arial"/>
        </w:rPr>
        <w:t>（1）高压工程：建设高压配电系统，一阶段一次完成首层高压配电房的高压配电柜相应出线的电线电缆、线槽等；一阶段建设2台2500kVA干式电力变压器，4台1600kVA干式电力变压器。</w:t>
      </w:r>
    </w:p>
    <w:p>
      <w:pPr>
        <w:ind w:firstLine="420" w:firstLineChars="175"/>
        <w:rPr>
          <w:rFonts w:hAnsi="宋体" w:cs="Arial"/>
        </w:rPr>
      </w:pPr>
      <w:r>
        <w:rPr>
          <w:rFonts w:hint="eastAsia" w:hAnsi="宋体" w:cs="Arial"/>
        </w:rPr>
        <w:t>（2）低压配电工程：采用分功能区域供电，一层为采用2N架构配置2*3台400KVA UPS的生产机房；三、四层IT机架采用微模块配置，配置机柜式UPS及UPS输入输出配电柜。配置两台200KWEPS为冷源二次泵和精密空调的EC风机以及安防监控供电。</w:t>
      </w:r>
    </w:p>
    <w:p>
      <w:pPr>
        <w:pStyle w:val="135"/>
        <w:numPr>
          <w:ilvl w:val="2"/>
          <w:numId w:val="73"/>
        </w:numPr>
        <w:spacing w:before="120"/>
        <w:ind w:left="0" w:firstLine="482"/>
        <w:rPr>
          <w:rFonts w:hAnsi="宋体" w:cs="Arial"/>
          <w:b/>
          <w:bCs/>
        </w:rPr>
      </w:pPr>
      <w:r>
        <w:rPr>
          <w:rFonts w:hint="eastAsia" w:hAnsi="宋体" w:cs="Arial"/>
          <w:b/>
          <w:bCs/>
        </w:rPr>
        <w:t>第二阶段：</w:t>
      </w:r>
    </w:p>
    <w:p>
      <w:pPr>
        <w:ind w:firstLine="420" w:firstLineChars="175"/>
        <w:rPr>
          <w:rFonts w:hAnsi="宋体" w:cs="Arial"/>
        </w:rPr>
      </w:pPr>
      <w:r>
        <w:rPr>
          <w:rFonts w:hint="eastAsia" w:hAnsi="宋体" w:cs="Arial"/>
        </w:rPr>
        <w:t>（1）高压工程：二层所有IT负载采用两台2500KVA变压器为其提供2N架构市电；三层E机房两台1600KVA变压器为其提供2N架构市电。</w:t>
      </w:r>
    </w:p>
    <w:p>
      <w:pPr>
        <w:ind w:firstLine="420" w:firstLineChars="175"/>
        <w:rPr>
          <w:rFonts w:hAnsi="宋体" w:cs="Arial"/>
        </w:rPr>
      </w:pPr>
      <w:r>
        <w:rPr>
          <w:rFonts w:hint="eastAsia" w:hAnsi="宋体" w:cs="Arial"/>
        </w:rPr>
        <w:t>（2）低压配电工程：二层采用2N架构配置2*3台400KVA UPS为主机房B、C供电,二层等保机房、三层E机房采用机柜式UPS及UPS输入输出配电柜，二层非标机房采用小母线插接箱配电。同时，配置1套400KVA的EPS为二楼新增精密空调及安防监控提供保障。</w:t>
      </w:r>
    </w:p>
    <w:p>
      <w:pPr>
        <w:ind w:firstLine="420" w:firstLineChars="175"/>
        <w:rPr>
          <w:rFonts w:hAnsi="宋体" w:cs="Arial"/>
        </w:rPr>
      </w:pPr>
    </w:p>
    <w:p>
      <w:pPr>
        <w:pStyle w:val="11"/>
        <w:numPr>
          <w:ilvl w:val="8"/>
          <w:numId w:val="72"/>
        </w:numPr>
      </w:pPr>
      <w:bookmarkStart w:id="24" w:name="_Toc165045248"/>
      <w:r>
        <w:rPr>
          <w:rFonts w:hint="eastAsia"/>
        </w:rPr>
        <w:t>高低压配电设备统计表</w:t>
      </w:r>
      <w:bookmarkEnd w:id="24"/>
    </w:p>
    <w:tbl>
      <w:tblPr>
        <w:tblStyle w:val="75"/>
        <w:tblW w:w="9050"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427"/>
        <w:gridCol w:w="684"/>
        <w:gridCol w:w="1287"/>
        <w:gridCol w:w="556"/>
        <w:gridCol w:w="567"/>
        <w:gridCol w:w="567"/>
        <w:gridCol w:w="567"/>
        <w:gridCol w:w="709"/>
        <w:gridCol w:w="567"/>
        <w:gridCol w:w="709"/>
        <w:gridCol w:w="567"/>
        <w:gridCol w:w="567"/>
        <w:gridCol w:w="567"/>
        <w:gridCol w:w="709"/>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restart"/>
            <w:shd w:val="clear" w:color="auto" w:fill="auto"/>
            <w:vAlign w:val="center"/>
          </w:tcPr>
          <w:p>
            <w:pPr>
              <w:spacing w:line="360" w:lineRule="exact"/>
              <w:jc w:val="center"/>
              <w:rPr>
                <w:rFonts w:hAnsi="宋体" w:cs="宋体"/>
                <w:b/>
                <w:bCs/>
                <w:kern w:val="0"/>
                <w:sz w:val="21"/>
                <w:szCs w:val="21"/>
              </w:rPr>
            </w:pPr>
            <w:r>
              <w:rPr>
                <w:rFonts w:hint="eastAsia" w:hAnsi="宋体" w:cs="宋体"/>
                <w:b/>
                <w:bCs/>
                <w:kern w:val="0"/>
                <w:sz w:val="21"/>
                <w:szCs w:val="21"/>
              </w:rPr>
              <w:t>序号</w:t>
            </w:r>
          </w:p>
        </w:tc>
        <w:tc>
          <w:tcPr>
            <w:tcW w:w="684" w:type="dxa"/>
            <w:vMerge w:val="restart"/>
            <w:shd w:val="clear" w:color="auto" w:fill="auto"/>
            <w:vAlign w:val="center"/>
          </w:tcPr>
          <w:p>
            <w:pPr>
              <w:spacing w:line="360" w:lineRule="exact"/>
              <w:jc w:val="center"/>
              <w:rPr>
                <w:rFonts w:hAnsi="宋体" w:cs="宋体"/>
                <w:b/>
                <w:bCs/>
                <w:kern w:val="0"/>
                <w:sz w:val="21"/>
                <w:szCs w:val="21"/>
              </w:rPr>
            </w:pPr>
            <w:r>
              <w:rPr>
                <w:rFonts w:hint="eastAsia" w:hAnsi="宋体" w:cs="宋体"/>
                <w:b/>
                <w:bCs/>
                <w:kern w:val="0"/>
                <w:sz w:val="21"/>
                <w:szCs w:val="21"/>
              </w:rPr>
              <w:t>楼层</w:t>
            </w:r>
          </w:p>
        </w:tc>
        <w:tc>
          <w:tcPr>
            <w:tcW w:w="1287" w:type="dxa"/>
            <w:vMerge w:val="restart"/>
            <w:shd w:val="clear" w:color="auto" w:fill="auto"/>
            <w:vAlign w:val="center"/>
          </w:tcPr>
          <w:p>
            <w:pPr>
              <w:spacing w:line="360" w:lineRule="exact"/>
              <w:jc w:val="center"/>
              <w:rPr>
                <w:rFonts w:hAnsi="宋体" w:cs="宋体"/>
                <w:b/>
                <w:bCs/>
                <w:kern w:val="0"/>
                <w:sz w:val="21"/>
                <w:szCs w:val="21"/>
              </w:rPr>
            </w:pPr>
            <w:r>
              <w:rPr>
                <w:rFonts w:hint="eastAsia" w:hAnsi="宋体" w:cs="宋体"/>
                <w:b/>
                <w:bCs/>
                <w:kern w:val="0"/>
                <w:sz w:val="21"/>
                <w:szCs w:val="21"/>
              </w:rPr>
              <w:t>房间</w:t>
            </w:r>
          </w:p>
        </w:tc>
        <w:tc>
          <w:tcPr>
            <w:tcW w:w="6652" w:type="dxa"/>
            <w:gridSpan w:val="11"/>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设备名称</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shd w:val="clear" w:color="auto" w:fill="auto"/>
            <w:vAlign w:val="center"/>
          </w:tcPr>
          <w:p>
            <w:pPr>
              <w:widowControl/>
              <w:spacing w:line="360" w:lineRule="exact"/>
              <w:jc w:val="center"/>
              <w:rPr>
                <w:rFonts w:hAnsi="宋体" w:cs="宋体"/>
                <w:b/>
                <w:bCs/>
                <w:kern w:val="0"/>
                <w:sz w:val="21"/>
                <w:szCs w:val="21"/>
              </w:rPr>
            </w:pPr>
          </w:p>
        </w:tc>
        <w:tc>
          <w:tcPr>
            <w:tcW w:w="684" w:type="dxa"/>
            <w:vMerge w:val="continue"/>
            <w:shd w:val="clear" w:color="auto" w:fill="auto"/>
            <w:vAlign w:val="center"/>
          </w:tcPr>
          <w:p>
            <w:pPr>
              <w:widowControl/>
              <w:spacing w:line="360" w:lineRule="exact"/>
              <w:jc w:val="center"/>
              <w:rPr>
                <w:rFonts w:hAnsi="宋体" w:cs="宋体"/>
                <w:b/>
                <w:bCs/>
                <w:kern w:val="0"/>
                <w:sz w:val="21"/>
                <w:szCs w:val="21"/>
              </w:rPr>
            </w:pPr>
          </w:p>
        </w:tc>
        <w:tc>
          <w:tcPr>
            <w:tcW w:w="1287" w:type="dxa"/>
            <w:vMerge w:val="continue"/>
            <w:shd w:val="clear" w:color="auto" w:fill="auto"/>
            <w:vAlign w:val="center"/>
          </w:tcPr>
          <w:p>
            <w:pPr>
              <w:widowControl/>
              <w:spacing w:line="360" w:lineRule="exact"/>
              <w:jc w:val="center"/>
              <w:rPr>
                <w:rFonts w:hAnsi="宋体" w:cs="宋体"/>
                <w:b/>
                <w:bCs/>
                <w:kern w:val="0"/>
                <w:sz w:val="21"/>
                <w:szCs w:val="21"/>
              </w:rPr>
            </w:pPr>
          </w:p>
        </w:tc>
        <w:tc>
          <w:tcPr>
            <w:tcW w:w="556"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进线柜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出线柜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PT柜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联络柜</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现场负荷柜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变压器</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低压开关柜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直流屏</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隔离柜</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EPS主机</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EPS蓄电池</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4"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一层</w:t>
            </w: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高压配电室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vAlign w:val="center"/>
          </w:tcPr>
          <w:p>
            <w:pPr>
              <w:widowControl/>
              <w:spacing w:line="360" w:lineRule="exact"/>
              <w:jc w:val="left"/>
              <w:rPr>
                <w:rFonts w:hAnsi="宋体" w:cs="宋体"/>
                <w:kern w:val="0"/>
                <w:sz w:val="21"/>
                <w:szCs w:val="21"/>
              </w:rPr>
            </w:pPr>
          </w:p>
        </w:tc>
        <w:tc>
          <w:tcPr>
            <w:tcW w:w="684" w:type="dxa"/>
            <w:vMerge w:val="continue"/>
            <w:vAlign w:val="center"/>
          </w:tcPr>
          <w:p>
            <w:pPr>
              <w:widowControl/>
              <w:spacing w:line="360" w:lineRule="exact"/>
              <w:jc w:val="left"/>
              <w:rPr>
                <w:rFonts w:hAnsi="宋体" w:cs="宋体"/>
                <w:kern w:val="0"/>
                <w:sz w:val="21"/>
                <w:szCs w:val="21"/>
              </w:rPr>
            </w:pP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1#变配电室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96</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vAlign w:val="center"/>
          </w:tcPr>
          <w:p>
            <w:pPr>
              <w:widowControl/>
              <w:spacing w:line="360" w:lineRule="exact"/>
              <w:jc w:val="left"/>
              <w:rPr>
                <w:rFonts w:hAnsi="宋体" w:cs="宋体"/>
                <w:kern w:val="0"/>
                <w:sz w:val="21"/>
                <w:szCs w:val="21"/>
              </w:rPr>
            </w:pPr>
          </w:p>
        </w:tc>
        <w:tc>
          <w:tcPr>
            <w:tcW w:w="684" w:type="dxa"/>
            <w:vMerge w:val="continue"/>
            <w:vAlign w:val="center"/>
          </w:tcPr>
          <w:p>
            <w:pPr>
              <w:widowControl/>
              <w:spacing w:line="360" w:lineRule="exact"/>
              <w:jc w:val="left"/>
              <w:rPr>
                <w:rFonts w:hAnsi="宋体" w:cs="宋体"/>
                <w:kern w:val="0"/>
                <w:sz w:val="21"/>
                <w:szCs w:val="21"/>
              </w:rPr>
            </w:pP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2#变配电室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4"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二层</w:t>
            </w: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4#变配电室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vAlign w:val="center"/>
          </w:tcPr>
          <w:p>
            <w:pPr>
              <w:widowControl/>
              <w:spacing w:line="360" w:lineRule="exact"/>
              <w:jc w:val="left"/>
              <w:rPr>
                <w:rFonts w:hAnsi="宋体" w:cs="宋体"/>
                <w:kern w:val="0"/>
                <w:sz w:val="21"/>
                <w:szCs w:val="21"/>
              </w:rPr>
            </w:pPr>
          </w:p>
        </w:tc>
        <w:tc>
          <w:tcPr>
            <w:tcW w:w="684" w:type="dxa"/>
            <w:vMerge w:val="continue"/>
            <w:vAlign w:val="center"/>
          </w:tcPr>
          <w:p>
            <w:pPr>
              <w:widowControl/>
              <w:spacing w:line="360" w:lineRule="exact"/>
              <w:jc w:val="left"/>
              <w:rPr>
                <w:rFonts w:hAnsi="宋体" w:cs="宋体"/>
                <w:kern w:val="0"/>
                <w:sz w:val="21"/>
                <w:szCs w:val="21"/>
              </w:rPr>
            </w:pP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UPS变配电间二</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96</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vAlign w:val="center"/>
          </w:tcPr>
          <w:p>
            <w:pPr>
              <w:widowControl/>
              <w:spacing w:line="360" w:lineRule="exact"/>
              <w:jc w:val="left"/>
              <w:rPr>
                <w:rFonts w:hAnsi="宋体" w:cs="宋体"/>
                <w:kern w:val="0"/>
                <w:sz w:val="21"/>
                <w:szCs w:val="21"/>
              </w:rPr>
            </w:pPr>
          </w:p>
        </w:tc>
        <w:tc>
          <w:tcPr>
            <w:tcW w:w="684" w:type="dxa"/>
            <w:vMerge w:val="continue"/>
            <w:vAlign w:val="center"/>
          </w:tcPr>
          <w:p>
            <w:pPr>
              <w:widowControl/>
              <w:spacing w:line="360" w:lineRule="exact"/>
              <w:jc w:val="left"/>
              <w:rPr>
                <w:rFonts w:hAnsi="宋体" w:cs="宋体"/>
                <w:kern w:val="0"/>
                <w:sz w:val="21"/>
                <w:szCs w:val="21"/>
              </w:rPr>
            </w:pP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UPS变配电间三</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120</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684" w:type="dxa"/>
            <w:vMerge w:val="restart"/>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三层</w:t>
            </w: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3#变配电室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vMerge w:val="continue"/>
            <w:vAlign w:val="center"/>
          </w:tcPr>
          <w:p>
            <w:pPr>
              <w:widowControl/>
              <w:spacing w:line="360" w:lineRule="exact"/>
              <w:jc w:val="left"/>
              <w:rPr>
                <w:rFonts w:hAnsi="宋体" w:cs="宋体"/>
                <w:kern w:val="0"/>
                <w:sz w:val="21"/>
                <w:szCs w:val="21"/>
              </w:rPr>
            </w:pPr>
          </w:p>
        </w:tc>
        <w:tc>
          <w:tcPr>
            <w:tcW w:w="684" w:type="dxa"/>
            <w:vMerge w:val="continue"/>
            <w:vAlign w:val="center"/>
          </w:tcPr>
          <w:p>
            <w:pPr>
              <w:widowControl/>
              <w:spacing w:line="360" w:lineRule="exact"/>
              <w:jc w:val="left"/>
              <w:rPr>
                <w:rFonts w:hAnsi="宋体" w:cs="宋体"/>
                <w:kern w:val="0"/>
                <w:sz w:val="21"/>
                <w:szCs w:val="21"/>
              </w:rPr>
            </w:pPr>
          </w:p>
        </w:tc>
        <w:tc>
          <w:tcPr>
            <w:tcW w:w="128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5#变配电室</w:t>
            </w:r>
          </w:p>
        </w:tc>
        <w:tc>
          <w:tcPr>
            <w:tcW w:w="556"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6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427"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71" w:type="dxa"/>
            <w:gridSpan w:val="2"/>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556"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10</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10</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62</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567"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312</w:t>
            </w:r>
          </w:p>
        </w:tc>
      </w:tr>
    </w:tbl>
    <w:p>
      <w:pPr>
        <w:pStyle w:val="5"/>
        <w:numPr>
          <w:ilvl w:val="2"/>
          <w:numId w:val="72"/>
        </w:numPr>
      </w:pPr>
      <w:bookmarkStart w:id="25" w:name="_Toc1570"/>
      <w:r>
        <w:rPr>
          <w:rFonts w:hint="eastAsia"/>
        </w:rPr>
        <w:t>机房UPS系统</w:t>
      </w:r>
      <w:bookmarkEnd w:id="25"/>
    </w:p>
    <w:p>
      <w:pPr>
        <w:ind w:firstLine="480" w:firstLineChars="200"/>
        <w:rPr>
          <w:rFonts w:hAnsi="宋体" w:cs="Arial"/>
        </w:rPr>
      </w:pPr>
      <w:r>
        <w:rPr>
          <w:rFonts w:hint="eastAsia" w:hAnsi="宋体" w:cs="Arial"/>
        </w:rPr>
        <w:t>一、二层为传统IT机房，配置大型集中式UPS，按2N系统建设；三、四层为微模块机房配置，每个微模块完成 2N UPS 配置。</w:t>
      </w:r>
    </w:p>
    <w:p>
      <w:pPr>
        <w:ind w:firstLine="480" w:firstLineChars="200"/>
        <w:rPr>
          <w:rFonts w:hAnsi="宋体" w:cs="Arial"/>
        </w:rPr>
      </w:pPr>
      <w:r>
        <w:rPr>
          <w:rFonts w:hint="eastAsia" w:hAnsi="宋体" w:cs="Arial"/>
        </w:rPr>
        <w:t xml:space="preserve">采用供电主干母线方式，母线槽方式节省空间；整洁，清晰便于管理与维护，IT机柜至配电列头柜采用电缆连接，其余所有低压连接均采用母线槽方式设计； </w:t>
      </w:r>
    </w:p>
    <w:p>
      <w:pPr>
        <w:ind w:firstLine="480" w:firstLineChars="200"/>
        <w:rPr>
          <w:rFonts w:hAnsi="宋体" w:cs="Arial"/>
        </w:rPr>
      </w:pPr>
      <w:r>
        <w:rPr>
          <w:rFonts w:hint="eastAsia" w:hAnsi="宋体" w:cs="Arial"/>
        </w:rPr>
        <w:t>每台UPS采用阀控式铅酸免维护电池，单机后备时间 15 分钟，IT 系统后备时间15分钟。连续制冷系统后备时间 5分钟。采用敞开式电池架安装方式，有利于通风散热和维护管理。</w:t>
      </w:r>
    </w:p>
    <w:p>
      <w:pPr>
        <w:pStyle w:val="135"/>
        <w:numPr>
          <w:ilvl w:val="2"/>
          <w:numId w:val="74"/>
        </w:numPr>
        <w:spacing w:before="120"/>
        <w:ind w:left="0" w:firstLine="482"/>
        <w:rPr>
          <w:rFonts w:hAnsi="宋体" w:cs="Arial"/>
          <w:b/>
          <w:bCs/>
        </w:rPr>
      </w:pPr>
      <w:r>
        <w:rPr>
          <w:rFonts w:hint="eastAsia" w:hAnsi="宋体" w:cs="Arial"/>
          <w:b/>
          <w:bCs/>
        </w:rPr>
        <w:t>第一阶段：</w:t>
      </w:r>
    </w:p>
    <w:p>
      <w:pPr>
        <w:ind w:firstLine="480" w:firstLineChars="200"/>
        <w:rPr>
          <w:rFonts w:hAnsi="宋体" w:cs="Arial"/>
        </w:rPr>
      </w:pPr>
      <w:r>
        <w:rPr>
          <w:rFonts w:hint="eastAsia" w:hAnsi="宋体" w:cs="Arial"/>
        </w:rPr>
        <w:t>一层配置 400KVA UPS 主机共计6台，为IT设备提供 UPS电源。</w:t>
      </w:r>
    </w:p>
    <w:p>
      <w:pPr>
        <w:pStyle w:val="135"/>
        <w:numPr>
          <w:ilvl w:val="2"/>
          <w:numId w:val="74"/>
        </w:numPr>
        <w:spacing w:before="120"/>
        <w:ind w:left="0" w:firstLine="482"/>
        <w:rPr>
          <w:rFonts w:hAnsi="宋体" w:cs="Arial"/>
          <w:b/>
          <w:bCs/>
        </w:rPr>
      </w:pPr>
      <w:r>
        <w:rPr>
          <w:rFonts w:hint="eastAsia" w:hAnsi="宋体" w:cs="Arial"/>
          <w:b/>
          <w:bCs/>
        </w:rPr>
        <w:t>第二阶段：</w:t>
      </w:r>
    </w:p>
    <w:p>
      <w:pPr>
        <w:ind w:firstLine="480" w:firstLineChars="200"/>
        <w:rPr>
          <w:rFonts w:hAnsi="宋体" w:cs="Arial"/>
        </w:rPr>
      </w:pPr>
      <w:r>
        <w:rPr>
          <w:rFonts w:hint="eastAsia" w:hAnsi="宋体" w:cs="Arial"/>
        </w:rPr>
        <w:t>二层配置 400KVA UPS 主机共计12台，为IT设备提供 UPS 电源。三层配置300KVA UPS 主机共计30台，每组微模块配置2N架构UPS，共为IT设备提供 UPS 电源。</w:t>
      </w:r>
    </w:p>
    <w:p>
      <w:pPr>
        <w:pStyle w:val="11"/>
        <w:numPr>
          <w:ilvl w:val="8"/>
          <w:numId w:val="72"/>
        </w:numPr>
      </w:pPr>
      <w:bookmarkStart w:id="26" w:name="_Toc165045249"/>
      <w:r>
        <w:rPr>
          <w:rFonts w:hint="eastAsia"/>
        </w:rPr>
        <w:t>UPS系统设备统计表</w:t>
      </w:r>
      <w:bookmarkEnd w:id="26"/>
    </w:p>
    <w:tbl>
      <w:tblPr>
        <w:tblStyle w:val="75"/>
        <w:tblW w:w="9097" w:type="dxa"/>
        <w:tblInd w:w="0" w:type="dxa"/>
        <w:tblLayout w:type="autofit"/>
        <w:tblCellMar>
          <w:top w:w="0" w:type="dxa"/>
          <w:left w:w="108" w:type="dxa"/>
          <w:bottom w:w="0" w:type="dxa"/>
          <w:right w:w="108" w:type="dxa"/>
        </w:tblCellMar>
      </w:tblPr>
      <w:tblGrid>
        <w:gridCol w:w="686"/>
        <w:gridCol w:w="851"/>
        <w:gridCol w:w="1134"/>
        <w:gridCol w:w="1134"/>
        <w:gridCol w:w="992"/>
        <w:gridCol w:w="992"/>
        <w:gridCol w:w="1134"/>
        <w:gridCol w:w="1134"/>
        <w:gridCol w:w="1040"/>
      </w:tblGrid>
      <w:tr>
        <w:tblPrEx>
          <w:tblCellMar>
            <w:top w:w="0" w:type="dxa"/>
            <w:left w:w="108" w:type="dxa"/>
            <w:bottom w:w="0" w:type="dxa"/>
            <w:right w:w="108" w:type="dxa"/>
          </w:tblCellMar>
        </w:tblPrEx>
        <w:tc>
          <w:tcPr>
            <w:tcW w:w="686" w:type="dxa"/>
            <w:vMerge w:val="restart"/>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851"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楼层</w:t>
            </w:r>
          </w:p>
        </w:tc>
        <w:tc>
          <w:tcPr>
            <w:tcW w:w="1134"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房间</w:t>
            </w:r>
          </w:p>
        </w:tc>
        <w:tc>
          <w:tcPr>
            <w:tcW w:w="5386" w:type="dxa"/>
            <w:gridSpan w:val="5"/>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设备名称</w:t>
            </w:r>
          </w:p>
        </w:tc>
        <w:tc>
          <w:tcPr>
            <w:tcW w:w="1040" w:type="dxa"/>
            <w:vMerge w:val="restart"/>
            <w:tcBorders>
              <w:top w:val="double" w:color="auto" w:sz="6" w:space="0"/>
              <w:left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686" w:type="dxa"/>
            <w:vMerge w:val="continue"/>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851"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134" w:type="dxa"/>
            <w:vMerge w:val="continue"/>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UPS主机</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蓄电池（节）</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电池开关箱</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电池监测仪</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低压开关柜</w:t>
            </w:r>
          </w:p>
        </w:tc>
        <w:tc>
          <w:tcPr>
            <w:tcW w:w="1040" w:type="dxa"/>
            <w:vMerge w:val="continue"/>
            <w:tcBorders>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b/>
                <w:bCs/>
                <w:kern w:val="0"/>
                <w:sz w:val="21"/>
                <w:szCs w:val="21"/>
              </w:rPr>
            </w:pP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一层</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720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720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720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720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二层</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电池室三</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1152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1152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电池室四</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1152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1152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等保机房</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三层</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640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640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532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532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四层</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80</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80</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99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113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10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985" w:type="dxa"/>
            <w:gridSpan w:val="2"/>
            <w:tcBorders>
              <w:top w:val="single" w:color="auto" w:sz="4" w:space="0"/>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1134"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54</w:t>
            </w:r>
          </w:p>
        </w:tc>
        <w:tc>
          <w:tcPr>
            <w:tcW w:w="99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5148</w:t>
            </w:r>
          </w:p>
        </w:tc>
        <w:tc>
          <w:tcPr>
            <w:tcW w:w="99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54</w:t>
            </w:r>
          </w:p>
        </w:tc>
        <w:tc>
          <w:tcPr>
            <w:tcW w:w="1134"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5148</w:t>
            </w:r>
          </w:p>
        </w:tc>
        <w:tc>
          <w:tcPr>
            <w:tcW w:w="1134"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50</w:t>
            </w:r>
          </w:p>
        </w:tc>
        <w:tc>
          <w:tcPr>
            <w:tcW w:w="1040" w:type="dxa"/>
            <w:tcBorders>
              <w:top w:val="nil"/>
              <w:left w:val="nil"/>
              <w:bottom w:val="double" w:color="auto" w:sz="6"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bl>
    <w:p>
      <w:pPr>
        <w:pStyle w:val="5"/>
        <w:numPr>
          <w:ilvl w:val="2"/>
          <w:numId w:val="72"/>
        </w:numPr>
      </w:pPr>
      <w:bookmarkStart w:id="27" w:name="_Toc1907"/>
      <w:r>
        <w:rPr>
          <w:rFonts w:hint="eastAsia"/>
        </w:rPr>
        <w:t>机房安防监控系统</w:t>
      </w:r>
      <w:bookmarkEnd w:id="27"/>
    </w:p>
    <w:p>
      <w:pPr>
        <w:pStyle w:val="6"/>
        <w:numPr>
          <w:ilvl w:val="3"/>
          <w:numId w:val="72"/>
        </w:numPr>
        <w:rPr>
          <w:color w:val="auto"/>
        </w:rPr>
      </w:pPr>
      <w:r>
        <w:rPr>
          <w:rFonts w:hint="eastAsia"/>
          <w:color w:val="auto"/>
        </w:rPr>
        <w:tab/>
      </w:r>
      <w:r>
        <w:rPr>
          <w:rFonts w:hint="eastAsia"/>
          <w:color w:val="auto"/>
        </w:rPr>
        <w:t>机房视频监控系统</w:t>
      </w:r>
    </w:p>
    <w:p>
      <w:pPr>
        <w:ind w:firstLine="480" w:firstLineChars="200"/>
        <w:rPr>
          <w:rFonts w:hAnsi="宋体" w:cs="Arial"/>
        </w:rPr>
      </w:pPr>
      <w:r>
        <w:rPr>
          <w:rFonts w:hint="eastAsia" w:hAnsi="宋体" w:cs="Arial"/>
        </w:rPr>
        <w:t>视频监控系统对监控场所进行实时、有效的视频探测、监视、显示和记录，并具有报警和图像复核功能。</w:t>
      </w:r>
    </w:p>
    <w:p>
      <w:pPr>
        <w:ind w:firstLine="480" w:firstLineChars="200"/>
        <w:rPr>
          <w:rFonts w:hAnsi="宋体" w:cs="Arial"/>
        </w:rPr>
      </w:pPr>
      <w:r>
        <w:rPr>
          <w:rFonts w:hint="eastAsia" w:hAnsi="宋体" w:cs="Arial"/>
        </w:rPr>
        <w:t>本数据中心共建设高清网络红外半球摄像机95个，高清网络红外一体机230个，具体点位如下表：</w:t>
      </w:r>
    </w:p>
    <w:p>
      <w:pPr>
        <w:pStyle w:val="11"/>
        <w:numPr>
          <w:ilvl w:val="8"/>
          <w:numId w:val="72"/>
        </w:numPr>
      </w:pPr>
      <w:bookmarkStart w:id="28" w:name="_Toc165045250"/>
      <w:r>
        <w:rPr>
          <w:rFonts w:hint="eastAsia"/>
        </w:rPr>
        <w:t>机房视频监控系统配置表</w:t>
      </w:r>
      <w:bookmarkEnd w:id="28"/>
    </w:p>
    <w:tbl>
      <w:tblPr>
        <w:tblStyle w:val="75"/>
        <w:tblW w:w="9049" w:type="dxa"/>
        <w:tblInd w:w="0" w:type="dxa"/>
        <w:tblLayout w:type="autofit"/>
        <w:tblCellMar>
          <w:top w:w="0" w:type="dxa"/>
          <w:left w:w="108" w:type="dxa"/>
          <w:bottom w:w="0" w:type="dxa"/>
          <w:right w:w="108" w:type="dxa"/>
        </w:tblCellMar>
      </w:tblPr>
      <w:tblGrid>
        <w:gridCol w:w="820"/>
        <w:gridCol w:w="2276"/>
        <w:gridCol w:w="2268"/>
        <w:gridCol w:w="2410"/>
        <w:gridCol w:w="1275"/>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2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位置</w:t>
            </w:r>
          </w:p>
        </w:tc>
        <w:tc>
          <w:tcPr>
            <w:tcW w:w="226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半球摄像机</w:t>
            </w:r>
          </w:p>
        </w:tc>
        <w:tc>
          <w:tcPr>
            <w:tcW w:w="241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枪型一体机</w:t>
            </w:r>
          </w:p>
        </w:tc>
        <w:tc>
          <w:tcPr>
            <w:tcW w:w="1275"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F1F1F1" w:themeFill="background1" w:themeFillShade="F2"/>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一</w:t>
            </w:r>
          </w:p>
        </w:tc>
        <w:tc>
          <w:tcPr>
            <w:tcW w:w="2276"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一层</w:t>
            </w:r>
          </w:p>
        </w:tc>
        <w:tc>
          <w:tcPr>
            <w:tcW w:w="226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14</w:t>
            </w:r>
          </w:p>
        </w:tc>
        <w:tc>
          <w:tcPr>
            <w:tcW w:w="241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65</w:t>
            </w:r>
          </w:p>
        </w:tc>
        <w:tc>
          <w:tcPr>
            <w:tcW w:w="1275"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26</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F1F1F1" w:themeFill="background1" w:themeFillShade="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2276"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二层</w:t>
            </w:r>
          </w:p>
        </w:tc>
        <w:tc>
          <w:tcPr>
            <w:tcW w:w="226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38</w:t>
            </w:r>
          </w:p>
        </w:tc>
        <w:tc>
          <w:tcPr>
            <w:tcW w:w="241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85</w:t>
            </w:r>
          </w:p>
        </w:tc>
        <w:tc>
          <w:tcPr>
            <w:tcW w:w="1275"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24</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24</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电池室三</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电池室四</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F1F1F1" w:themeFill="background1" w:themeFillShade="F2"/>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三</w:t>
            </w:r>
          </w:p>
        </w:tc>
        <w:tc>
          <w:tcPr>
            <w:tcW w:w="2276"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三层</w:t>
            </w:r>
          </w:p>
        </w:tc>
        <w:tc>
          <w:tcPr>
            <w:tcW w:w="226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35</w:t>
            </w:r>
          </w:p>
        </w:tc>
        <w:tc>
          <w:tcPr>
            <w:tcW w:w="241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65</w:t>
            </w:r>
          </w:p>
        </w:tc>
        <w:tc>
          <w:tcPr>
            <w:tcW w:w="1275"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3#变配电室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5#变配电室</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F1F1F1" w:themeFill="background1" w:themeFillShade="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2276"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四层</w:t>
            </w:r>
          </w:p>
        </w:tc>
        <w:tc>
          <w:tcPr>
            <w:tcW w:w="226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241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w:t>
            </w:r>
          </w:p>
        </w:tc>
        <w:tc>
          <w:tcPr>
            <w:tcW w:w="1275"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226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241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275"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F1F1F1" w:themeFill="background1" w:themeFillShade="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w:t>
            </w:r>
          </w:p>
        </w:tc>
        <w:tc>
          <w:tcPr>
            <w:tcW w:w="2276"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2268"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95</w:t>
            </w:r>
          </w:p>
        </w:tc>
        <w:tc>
          <w:tcPr>
            <w:tcW w:w="2410"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230</w:t>
            </w:r>
          </w:p>
        </w:tc>
        <w:tc>
          <w:tcPr>
            <w:tcW w:w="1275" w:type="dxa"/>
            <w:tcBorders>
              <w:top w:val="nil"/>
              <w:left w:val="nil"/>
              <w:bottom w:val="double" w:color="auto" w:sz="6" w:space="0"/>
              <w:right w:val="double" w:color="auto" w:sz="6"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bl>
    <w:p>
      <w:pPr>
        <w:pStyle w:val="6"/>
        <w:numPr>
          <w:ilvl w:val="3"/>
          <w:numId w:val="72"/>
        </w:numPr>
        <w:rPr>
          <w:color w:val="auto"/>
        </w:rPr>
      </w:pPr>
      <w:r>
        <w:rPr>
          <w:rFonts w:hint="eastAsia"/>
          <w:color w:val="auto"/>
        </w:rPr>
        <w:tab/>
      </w:r>
      <w:r>
        <w:rPr>
          <w:rFonts w:hint="eastAsia"/>
          <w:color w:val="auto"/>
        </w:rPr>
        <w:t>门禁控制系统</w:t>
      </w:r>
    </w:p>
    <w:p>
      <w:pPr>
        <w:ind w:firstLine="480" w:firstLineChars="200"/>
        <w:rPr>
          <w:rFonts w:hAnsi="宋体" w:cs="Arial"/>
        </w:rPr>
      </w:pPr>
      <w:r>
        <w:rPr>
          <w:rFonts w:hint="eastAsia" w:hAnsi="宋体" w:cs="Arial"/>
        </w:rPr>
        <w:t>门禁控制系统由前端设备（身份识别设备，门禁点管理设备、接口模块、输入输出扩展设备等）、控制设备（门禁控制器）、管理设备（专业软件、服务器、工作站等）组成。出入口控制系统根据人员被允许进入的区域进行不同的授权权限，通过身份识别设备进行身份辨识，只有经过授权的人才能进入受控的区域。机房总共设置了151个门禁点，详细门禁点如下表所示：</w:t>
      </w:r>
    </w:p>
    <w:p>
      <w:pPr>
        <w:pStyle w:val="11"/>
        <w:numPr>
          <w:ilvl w:val="8"/>
          <w:numId w:val="72"/>
        </w:numPr>
      </w:pPr>
      <w:bookmarkStart w:id="29" w:name="_Toc165045251"/>
      <w:r>
        <w:rPr>
          <w:rFonts w:hint="eastAsia"/>
        </w:rPr>
        <w:t>机房门禁点位表</w:t>
      </w:r>
      <w:bookmarkEnd w:id="29"/>
    </w:p>
    <w:tbl>
      <w:tblPr>
        <w:tblStyle w:val="75"/>
        <w:tblW w:w="9049" w:type="dxa"/>
        <w:tblInd w:w="0" w:type="dxa"/>
        <w:tblLayout w:type="autofit"/>
        <w:tblCellMar>
          <w:top w:w="0" w:type="dxa"/>
          <w:left w:w="108" w:type="dxa"/>
          <w:bottom w:w="0" w:type="dxa"/>
          <w:right w:w="108" w:type="dxa"/>
        </w:tblCellMar>
      </w:tblPr>
      <w:tblGrid>
        <w:gridCol w:w="780"/>
        <w:gridCol w:w="2660"/>
        <w:gridCol w:w="1215"/>
        <w:gridCol w:w="1134"/>
        <w:gridCol w:w="1120"/>
        <w:gridCol w:w="1148"/>
        <w:gridCol w:w="992"/>
      </w:tblGrid>
      <w:tr>
        <w:tblPrEx>
          <w:tblCellMar>
            <w:top w:w="0" w:type="dxa"/>
            <w:left w:w="108" w:type="dxa"/>
            <w:bottom w:w="0" w:type="dxa"/>
            <w:right w:w="108" w:type="dxa"/>
          </w:tblCellMar>
        </w:tblPrEx>
        <w:trPr>
          <w:tblHeader/>
        </w:trPr>
        <w:tc>
          <w:tcPr>
            <w:tcW w:w="780" w:type="dxa"/>
            <w:tcBorders>
              <w:top w:val="double" w:color="auto" w:sz="6" w:space="0"/>
              <w:left w:val="double" w:color="auto" w:sz="6" w:space="0"/>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660" w:type="dxa"/>
            <w:tcBorders>
              <w:top w:val="double" w:color="auto" w:sz="6" w:space="0"/>
              <w:left w:val="nil"/>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位置</w:t>
            </w:r>
          </w:p>
        </w:tc>
        <w:tc>
          <w:tcPr>
            <w:tcW w:w="1215" w:type="dxa"/>
            <w:tcBorders>
              <w:top w:val="double" w:color="auto" w:sz="6" w:space="0"/>
              <w:left w:val="nil"/>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读卡器</w:t>
            </w:r>
          </w:p>
        </w:tc>
        <w:tc>
          <w:tcPr>
            <w:tcW w:w="1134" w:type="dxa"/>
            <w:tcBorders>
              <w:top w:val="double" w:color="auto" w:sz="6" w:space="0"/>
              <w:left w:val="nil"/>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电控锁</w:t>
            </w:r>
          </w:p>
        </w:tc>
        <w:tc>
          <w:tcPr>
            <w:tcW w:w="1120" w:type="dxa"/>
            <w:tcBorders>
              <w:top w:val="double" w:color="auto" w:sz="6" w:space="0"/>
              <w:left w:val="nil"/>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出门按钮</w:t>
            </w:r>
          </w:p>
        </w:tc>
        <w:tc>
          <w:tcPr>
            <w:tcW w:w="1148" w:type="dxa"/>
            <w:tcBorders>
              <w:top w:val="double" w:color="auto" w:sz="6" w:space="0"/>
              <w:left w:val="nil"/>
              <w:bottom w:val="single" w:color="auto" w:sz="4" w:space="0"/>
              <w:right w:val="single" w:color="auto" w:sz="4"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门磁</w:t>
            </w:r>
          </w:p>
        </w:tc>
        <w:tc>
          <w:tcPr>
            <w:tcW w:w="992" w:type="dxa"/>
            <w:tcBorders>
              <w:top w:val="double" w:color="auto" w:sz="6" w:space="0"/>
              <w:left w:val="nil"/>
              <w:bottom w:val="single" w:color="auto" w:sz="4" w:space="0"/>
              <w:right w:val="double" w:color="auto" w:sz="6" w:space="0"/>
            </w:tcBorders>
            <w:shd w:val="clear" w:color="auto" w:fill="D8D8D8" w:themeFill="background1" w:themeFillShade="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w:t>
            </w:r>
          </w:p>
        </w:tc>
        <w:tc>
          <w:tcPr>
            <w:tcW w:w="266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一层</w:t>
            </w:r>
          </w:p>
        </w:tc>
        <w:tc>
          <w:tcPr>
            <w:tcW w:w="1215"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32</w:t>
            </w:r>
          </w:p>
        </w:tc>
        <w:tc>
          <w:tcPr>
            <w:tcW w:w="1134"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32</w:t>
            </w:r>
          </w:p>
        </w:tc>
        <w:tc>
          <w:tcPr>
            <w:tcW w:w="112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29</w:t>
            </w:r>
          </w:p>
        </w:tc>
        <w:tc>
          <w:tcPr>
            <w:tcW w:w="114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32</w:t>
            </w:r>
          </w:p>
        </w:tc>
        <w:tc>
          <w:tcPr>
            <w:tcW w:w="992"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266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二层</w:t>
            </w:r>
          </w:p>
        </w:tc>
        <w:tc>
          <w:tcPr>
            <w:tcW w:w="1215"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60</w:t>
            </w:r>
          </w:p>
        </w:tc>
        <w:tc>
          <w:tcPr>
            <w:tcW w:w="1134"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60</w:t>
            </w:r>
          </w:p>
        </w:tc>
        <w:tc>
          <w:tcPr>
            <w:tcW w:w="112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52</w:t>
            </w:r>
          </w:p>
        </w:tc>
        <w:tc>
          <w:tcPr>
            <w:tcW w:w="114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60</w:t>
            </w:r>
          </w:p>
        </w:tc>
        <w:tc>
          <w:tcPr>
            <w:tcW w:w="992"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电池室三</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电池室四</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266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三层</w:t>
            </w:r>
          </w:p>
        </w:tc>
        <w:tc>
          <w:tcPr>
            <w:tcW w:w="1215"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47</w:t>
            </w:r>
          </w:p>
        </w:tc>
        <w:tc>
          <w:tcPr>
            <w:tcW w:w="1134"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47</w:t>
            </w:r>
          </w:p>
        </w:tc>
        <w:tc>
          <w:tcPr>
            <w:tcW w:w="112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38</w:t>
            </w:r>
          </w:p>
        </w:tc>
        <w:tc>
          <w:tcPr>
            <w:tcW w:w="114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47</w:t>
            </w:r>
          </w:p>
        </w:tc>
        <w:tc>
          <w:tcPr>
            <w:tcW w:w="992"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3#变配电室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5#变配电室</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266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四层</w:t>
            </w:r>
          </w:p>
        </w:tc>
        <w:tc>
          <w:tcPr>
            <w:tcW w:w="1215"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12</w:t>
            </w:r>
          </w:p>
        </w:tc>
        <w:tc>
          <w:tcPr>
            <w:tcW w:w="1134"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12</w:t>
            </w:r>
          </w:p>
        </w:tc>
        <w:tc>
          <w:tcPr>
            <w:tcW w:w="1120"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w:t>
            </w:r>
          </w:p>
        </w:tc>
        <w:tc>
          <w:tcPr>
            <w:tcW w:w="1148" w:type="dxa"/>
            <w:tcBorders>
              <w:top w:val="nil"/>
              <w:left w:val="nil"/>
              <w:bottom w:val="single" w:color="auto" w:sz="4"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12</w:t>
            </w:r>
          </w:p>
        </w:tc>
        <w:tc>
          <w:tcPr>
            <w:tcW w:w="992" w:type="dxa"/>
            <w:tcBorders>
              <w:top w:val="nil"/>
              <w:left w:val="nil"/>
              <w:bottom w:val="single" w:color="auto" w:sz="4" w:space="0"/>
              <w:right w:val="double" w:color="auto" w:sz="6" w:space="0"/>
            </w:tcBorders>
            <w:shd w:val="clear" w:color="auto" w:fill="F1F1F1" w:themeFill="background1" w:themeFillShade="F2"/>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6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1215"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34"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2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48"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780" w:type="dxa"/>
            <w:tcBorders>
              <w:top w:val="nil"/>
              <w:left w:val="double" w:color="auto" w:sz="6" w:space="0"/>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w:t>
            </w:r>
          </w:p>
        </w:tc>
        <w:tc>
          <w:tcPr>
            <w:tcW w:w="2660"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1215"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151</w:t>
            </w:r>
          </w:p>
        </w:tc>
        <w:tc>
          <w:tcPr>
            <w:tcW w:w="1134"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151</w:t>
            </w:r>
          </w:p>
        </w:tc>
        <w:tc>
          <w:tcPr>
            <w:tcW w:w="1120"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125</w:t>
            </w:r>
          </w:p>
        </w:tc>
        <w:tc>
          <w:tcPr>
            <w:tcW w:w="1148" w:type="dxa"/>
            <w:tcBorders>
              <w:top w:val="nil"/>
              <w:left w:val="nil"/>
              <w:bottom w:val="double" w:color="auto" w:sz="6" w:space="0"/>
              <w:right w:val="single" w:color="auto" w:sz="4" w:space="0"/>
            </w:tcBorders>
            <w:shd w:val="clear" w:color="auto" w:fill="F1F1F1" w:themeFill="background1" w:themeFillShade="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151</w:t>
            </w:r>
          </w:p>
        </w:tc>
        <w:tc>
          <w:tcPr>
            <w:tcW w:w="992" w:type="dxa"/>
            <w:tcBorders>
              <w:top w:val="nil"/>
              <w:left w:val="nil"/>
              <w:bottom w:val="double" w:color="auto" w:sz="6" w:space="0"/>
              <w:right w:val="double" w:color="auto" w:sz="6" w:space="0"/>
            </w:tcBorders>
            <w:shd w:val="clear" w:color="auto" w:fill="F1F1F1" w:themeFill="background1" w:themeFillShade="F2"/>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ab/>
      </w:r>
      <w:r>
        <w:rPr>
          <w:rFonts w:hint="eastAsia"/>
          <w:color w:val="auto"/>
        </w:rPr>
        <w:t>入侵报警系统</w:t>
      </w:r>
    </w:p>
    <w:p>
      <w:pPr>
        <w:ind w:firstLine="480" w:firstLineChars="200"/>
        <w:rPr>
          <w:rFonts w:hAnsi="宋体" w:cs="Arial"/>
        </w:rPr>
      </w:pPr>
      <w:r>
        <w:rPr>
          <w:rFonts w:hint="eastAsia" w:hAnsi="宋体" w:cs="Arial"/>
        </w:rPr>
        <w:t>入侵报警系统由前端探测器、传输线缆、各类防区模块、报警主机和响应的管理软件构成；采用报警主机+总线传输+分布式地址模块+前端报警设备的模式。入侵报警主机能设定分时段设防和撤防，可与视频监控系统联动，启动摄像机对现场情况进行录像。云计算中心共布设吸顶/壁挂双鉴探测器26个、紧急报警按钮81个，具体点位如下表：</w:t>
      </w:r>
    </w:p>
    <w:p>
      <w:pPr>
        <w:pStyle w:val="11"/>
        <w:numPr>
          <w:ilvl w:val="8"/>
          <w:numId w:val="72"/>
        </w:numPr>
      </w:pPr>
      <w:bookmarkStart w:id="30" w:name="_Toc165045252"/>
      <w:r>
        <w:rPr>
          <w:rFonts w:hint="eastAsia"/>
        </w:rPr>
        <w:t>报警点位表</w:t>
      </w:r>
      <w:bookmarkEnd w:id="30"/>
    </w:p>
    <w:tbl>
      <w:tblPr>
        <w:tblStyle w:val="75"/>
        <w:tblW w:w="9049" w:type="dxa"/>
        <w:tblInd w:w="0" w:type="dxa"/>
        <w:tblLayout w:type="autofit"/>
        <w:tblCellMar>
          <w:top w:w="0" w:type="dxa"/>
          <w:left w:w="108" w:type="dxa"/>
          <w:bottom w:w="0" w:type="dxa"/>
          <w:right w:w="108" w:type="dxa"/>
        </w:tblCellMar>
      </w:tblPr>
      <w:tblGrid>
        <w:gridCol w:w="828"/>
        <w:gridCol w:w="2980"/>
        <w:gridCol w:w="2336"/>
        <w:gridCol w:w="1913"/>
        <w:gridCol w:w="992"/>
      </w:tblGrid>
      <w:tr>
        <w:tblPrEx>
          <w:tblCellMar>
            <w:top w:w="0" w:type="dxa"/>
            <w:left w:w="108" w:type="dxa"/>
            <w:bottom w:w="0" w:type="dxa"/>
            <w:right w:w="108" w:type="dxa"/>
          </w:tblCellMar>
        </w:tblPrEx>
        <w:trPr>
          <w:tblHeader/>
        </w:trPr>
        <w:tc>
          <w:tcPr>
            <w:tcW w:w="828" w:type="dxa"/>
            <w:tcBorders>
              <w:top w:val="double" w:color="auto" w:sz="6" w:space="0"/>
              <w:left w:val="double" w:color="auto" w:sz="6" w:space="0"/>
              <w:bottom w:val="single" w:color="auto" w:sz="4" w:space="0"/>
              <w:right w:val="single" w:color="auto" w:sz="4" w:space="0"/>
            </w:tcBorders>
            <w:shd w:val="clear" w:color="000000" w:fill="D9D9D9"/>
            <w:noWrap/>
            <w:vAlign w:val="center"/>
          </w:tcPr>
          <w:p>
            <w:pPr>
              <w:widowControl/>
              <w:jc w:val="center"/>
              <w:rPr>
                <w:rFonts w:hAnsi="宋体" w:cs="宋体"/>
                <w:b/>
                <w:bCs/>
                <w:kern w:val="0"/>
                <w:sz w:val="21"/>
                <w:szCs w:val="21"/>
              </w:rPr>
            </w:pPr>
            <w:r>
              <w:rPr>
                <w:rFonts w:hint="eastAsia" w:hAnsi="宋体" w:cs="宋体"/>
                <w:b/>
                <w:bCs/>
                <w:kern w:val="0"/>
                <w:sz w:val="21"/>
                <w:szCs w:val="21"/>
              </w:rPr>
              <w:t>序号</w:t>
            </w:r>
          </w:p>
        </w:tc>
        <w:tc>
          <w:tcPr>
            <w:tcW w:w="2980" w:type="dxa"/>
            <w:tcBorders>
              <w:top w:val="double" w:color="auto" w:sz="6" w:space="0"/>
              <w:left w:val="nil"/>
              <w:bottom w:val="single" w:color="auto" w:sz="4" w:space="0"/>
              <w:right w:val="single" w:color="auto" w:sz="4" w:space="0"/>
            </w:tcBorders>
            <w:shd w:val="clear" w:color="000000" w:fill="D9D9D9"/>
            <w:vAlign w:val="center"/>
          </w:tcPr>
          <w:p>
            <w:pPr>
              <w:widowControl/>
              <w:jc w:val="center"/>
              <w:rPr>
                <w:rFonts w:hAnsi="宋体" w:cs="宋体"/>
                <w:b/>
                <w:bCs/>
                <w:kern w:val="0"/>
                <w:sz w:val="21"/>
                <w:szCs w:val="21"/>
              </w:rPr>
            </w:pPr>
            <w:r>
              <w:rPr>
                <w:rFonts w:hint="eastAsia" w:hAnsi="宋体" w:cs="宋体"/>
                <w:b/>
                <w:bCs/>
                <w:kern w:val="0"/>
                <w:sz w:val="21"/>
                <w:szCs w:val="21"/>
              </w:rPr>
              <w:t>位置</w:t>
            </w:r>
          </w:p>
        </w:tc>
        <w:tc>
          <w:tcPr>
            <w:tcW w:w="2336" w:type="dxa"/>
            <w:tcBorders>
              <w:top w:val="double" w:color="auto" w:sz="6" w:space="0"/>
              <w:left w:val="nil"/>
              <w:bottom w:val="single" w:color="auto" w:sz="4" w:space="0"/>
              <w:right w:val="single" w:color="auto" w:sz="4" w:space="0"/>
            </w:tcBorders>
            <w:shd w:val="clear" w:color="000000" w:fill="D9D9D9"/>
            <w:vAlign w:val="center"/>
          </w:tcPr>
          <w:p>
            <w:pPr>
              <w:widowControl/>
              <w:jc w:val="center"/>
              <w:rPr>
                <w:rFonts w:hAnsi="宋体" w:cs="宋体"/>
                <w:b/>
                <w:bCs/>
                <w:kern w:val="0"/>
                <w:sz w:val="21"/>
                <w:szCs w:val="21"/>
              </w:rPr>
            </w:pPr>
            <w:r>
              <w:rPr>
                <w:rFonts w:hint="eastAsia" w:hAnsi="宋体" w:cs="宋体"/>
                <w:b/>
                <w:bCs/>
                <w:kern w:val="0"/>
                <w:sz w:val="21"/>
                <w:szCs w:val="21"/>
              </w:rPr>
              <w:t>吸顶/壁挂双鉴探测器</w:t>
            </w:r>
          </w:p>
        </w:tc>
        <w:tc>
          <w:tcPr>
            <w:tcW w:w="1913" w:type="dxa"/>
            <w:tcBorders>
              <w:top w:val="double" w:color="auto" w:sz="6" w:space="0"/>
              <w:left w:val="nil"/>
              <w:bottom w:val="single" w:color="auto" w:sz="4" w:space="0"/>
              <w:right w:val="single" w:color="auto" w:sz="4" w:space="0"/>
            </w:tcBorders>
            <w:shd w:val="clear" w:color="000000" w:fill="D9D9D9"/>
            <w:vAlign w:val="center"/>
          </w:tcPr>
          <w:p>
            <w:pPr>
              <w:widowControl/>
              <w:jc w:val="center"/>
              <w:rPr>
                <w:rFonts w:hAnsi="宋体" w:cs="宋体"/>
                <w:b/>
                <w:bCs/>
                <w:kern w:val="0"/>
                <w:sz w:val="21"/>
                <w:szCs w:val="21"/>
              </w:rPr>
            </w:pPr>
            <w:r>
              <w:rPr>
                <w:rFonts w:hint="eastAsia" w:hAnsi="宋体" w:cs="宋体"/>
                <w:b/>
                <w:bCs/>
                <w:kern w:val="0"/>
                <w:sz w:val="21"/>
                <w:szCs w:val="21"/>
              </w:rPr>
              <w:t>紧急报警按钮</w:t>
            </w:r>
          </w:p>
        </w:tc>
        <w:tc>
          <w:tcPr>
            <w:tcW w:w="992" w:type="dxa"/>
            <w:tcBorders>
              <w:top w:val="double" w:color="auto" w:sz="6" w:space="0"/>
              <w:left w:val="nil"/>
              <w:bottom w:val="single" w:color="auto" w:sz="4" w:space="0"/>
              <w:right w:val="double" w:color="auto" w:sz="6" w:space="0"/>
            </w:tcBorders>
            <w:shd w:val="clear" w:color="000000" w:fill="D9D9D9"/>
            <w:vAlign w:val="center"/>
          </w:tcPr>
          <w:p>
            <w:pPr>
              <w:widowControl/>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一</w:t>
            </w:r>
          </w:p>
        </w:tc>
        <w:tc>
          <w:tcPr>
            <w:tcW w:w="2980" w:type="dxa"/>
            <w:tcBorders>
              <w:top w:val="nil"/>
              <w:left w:val="nil"/>
              <w:bottom w:val="single" w:color="auto" w:sz="4" w:space="0"/>
              <w:right w:val="single" w:color="auto" w:sz="4" w:space="0"/>
            </w:tcBorders>
            <w:shd w:val="clear" w:color="000000" w:fill="F2F2F2"/>
            <w:vAlign w:val="center"/>
          </w:tcPr>
          <w:p>
            <w:pPr>
              <w:widowControl/>
              <w:jc w:val="left"/>
              <w:rPr>
                <w:rFonts w:hAnsi="宋体" w:cs="宋体"/>
                <w:b/>
                <w:bCs/>
                <w:kern w:val="0"/>
                <w:sz w:val="21"/>
                <w:szCs w:val="21"/>
              </w:rPr>
            </w:pPr>
            <w:r>
              <w:rPr>
                <w:rFonts w:hint="eastAsia" w:hAnsi="宋体" w:cs="宋体"/>
                <w:b/>
                <w:bCs/>
                <w:kern w:val="0"/>
                <w:sz w:val="21"/>
                <w:szCs w:val="21"/>
              </w:rPr>
              <w:t>一层</w:t>
            </w:r>
          </w:p>
        </w:tc>
        <w:tc>
          <w:tcPr>
            <w:tcW w:w="2336" w:type="dxa"/>
            <w:tcBorders>
              <w:top w:val="nil"/>
              <w:left w:val="nil"/>
              <w:bottom w:val="single" w:color="auto" w:sz="4" w:space="0"/>
              <w:right w:val="single" w:color="auto" w:sz="4" w:space="0"/>
            </w:tcBorders>
            <w:shd w:val="clear" w:color="000000" w:fill="F2F2F2"/>
            <w:vAlign w:val="center"/>
          </w:tcPr>
          <w:p>
            <w:pPr>
              <w:widowControl/>
              <w:jc w:val="center"/>
              <w:rPr>
                <w:rFonts w:hAnsi="宋体" w:cs="宋体"/>
                <w:b/>
                <w:bCs/>
                <w:kern w:val="0"/>
                <w:sz w:val="21"/>
                <w:szCs w:val="21"/>
              </w:rPr>
            </w:pPr>
            <w:r>
              <w:rPr>
                <w:rFonts w:hint="eastAsia" w:hAnsi="宋体" w:cs="宋体"/>
                <w:b/>
                <w:bCs/>
                <w:kern w:val="0"/>
                <w:sz w:val="21"/>
                <w:szCs w:val="21"/>
              </w:rPr>
              <w:t>0</w:t>
            </w:r>
          </w:p>
        </w:tc>
        <w:tc>
          <w:tcPr>
            <w:tcW w:w="1913" w:type="dxa"/>
            <w:tcBorders>
              <w:top w:val="nil"/>
              <w:left w:val="nil"/>
              <w:bottom w:val="single" w:color="auto" w:sz="4" w:space="0"/>
              <w:right w:val="single" w:color="auto" w:sz="4" w:space="0"/>
            </w:tcBorders>
            <w:shd w:val="clear" w:color="000000" w:fill="F2F2F2"/>
            <w:vAlign w:val="center"/>
          </w:tcPr>
          <w:p>
            <w:pPr>
              <w:widowControl/>
              <w:jc w:val="center"/>
              <w:rPr>
                <w:rFonts w:hAnsi="宋体" w:cs="宋体"/>
                <w:b/>
                <w:bCs/>
                <w:kern w:val="0"/>
                <w:sz w:val="21"/>
                <w:szCs w:val="21"/>
              </w:rPr>
            </w:pPr>
            <w:r>
              <w:rPr>
                <w:rFonts w:hint="eastAsia" w:hAnsi="宋体" w:cs="宋体"/>
                <w:b/>
                <w:bCs/>
                <w:kern w:val="0"/>
                <w:sz w:val="21"/>
                <w:szCs w:val="21"/>
              </w:rPr>
              <w:t>3</w:t>
            </w:r>
          </w:p>
        </w:tc>
        <w:tc>
          <w:tcPr>
            <w:tcW w:w="992" w:type="dxa"/>
            <w:tcBorders>
              <w:top w:val="nil"/>
              <w:left w:val="nil"/>
              <w:bottom w:val="single" w:color="auto" w:sz="4" w:space="0"/>
              <w:right w:val="double" w:color="auto" w:sz="6" w:space="0"/>
            </w:tcBorders>
            <w:shd w:val="clear" w:color="000000" w:fill="F2F2F2"/>
            <w:vAlign w:val="center"/>
          </w:tcPr>
          <w:p>
            <w:pPr>
              <w:widowControl/>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主机房A</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UPS变配电间一</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高压配电室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1#变配电室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5</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2#变配电室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6</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电池室一</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7</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电池室二</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8</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制冷机房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9</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运营商接入间一</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10</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运营商接入间二</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运营商接入间三</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新风兼事故排风机房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13</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空调风柜房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二</w:t>
            </w:r>
          </w:p>
        </w:tc>
        <w:tc>
          <w:tcPr>
            <w:tcW w:w="2980" w:type="dxa"/>
            <w:tcBorders>
              <w:top w:val="nil"/>
              <w:left w:val="nil"/>
              <w:bottom w:val="single" w:color="auto" w:sz="4" w:space="0"/>
              <w:right w:val="single" w:color="auto" w:sz="4" w:space="0"/>
            </w:tcBorders>
            <w:shd w:val="clear" w:color="000000" w:fill="F2F2F2"/>
            <w:noWrap/>
            <w:vAlign w:val="center"/>
          </w:tcPr>
          <w:p>
            <w:pPr>
              <w:widowControl/>
              <w:jc w:val="left"/>
              <w:rPr>
                <w:rFonts w:hAnsi="宋体" w:cs="宋体"/>
                <w:b/>
                <w:bCs/>
                <w:kern w:val="0"/>
                <w:sz w:val="21"/>
                <w:szCs w:val="21"/>
              </w:rPr>
            </w:pPr>
            <w:r>
              <w:rPr>
                <w:rFonts w:hint="eastAsia" w:hAnsi="宋体" w:cs="宋体"/>
                <w:b/>
                <w:bCs/>
                <w:kern w:val="0"/>
                <w:sz w:val="21"/>
                <w:szCs w:val="21"/>
              </w:rPr>
              <w:t>二层</w:t>
            </w:r>
          </w:p>
        </w:tc>
        <w:tc>
          <w:tcPr>
            <w:tcW w:w="2336"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18</w:t>
            </w:r>
          </w:p>
        </w:tc>
        <w:tc>
          <w:tcPr>
            <w:tcW w:w="1913"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51</w:t>
            </w:r>
          </w:p>
        </w:tc>
        <w:tc>
          <w:tcPr>
            <w:tcW w:w="992" w:type="dxa"/>
            <w:tcBorders>
              <w:top w:val="nil"/>
              <w:left w:val="nil"/>
              <w:bottom w:val="single" w:color="auto" w:sz="4" w:space="0"/>
              <w:right w:val="double" w:color="auto" w:sz="6"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主机房B</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19</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主机房C</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核心网络机房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4#变配电室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5</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UPS变配电间二</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6</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UPS变配电间三</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7</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电池室三</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8</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电池室四</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9</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非标机房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10</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等保四级机房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5</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空调风柜房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新风兼事故排风机房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三</w:t>
            </w:r>
          </w:p>
        </w:tc>
        <w:tc>
          <w:tcPr>
            <w:tcW w:w="2980" w:type="dxa"/>
            <w:tcBorders>
              <w:top w:val="nil"/>
              <w:left w:val="nil"/>
              <w:bottom w:val="single" w:color="auto" w:sz="4" w:space="0"/>
              <w:right w:val="single" w:color="auto" w:sz="4" w:space="0"/>
            </w:tcBorders>
            <w:shd w:val="clear" w:color="000000" w:fill="F2F2F2"/>
            <w:noWrap/>
            <w:vAlign w:val="center"/>
          </w:tcPr>
          <w:p>
            <w:pPr>
              <w:widowControl/>
              <w:jc w:val="left"/>
              <w:rPr>
                <w:rFonts w:hAnsi="宋体" w:cs="宋体"/>
                <w:b/>
                <w:bCs/>
                <w:kern w:val="0"/>
                <w:sz w:val="21"/>
                <w:szCs w:val="21"/>
              </w:rPr>
            </w:pPr>
            <w:r>
              <w:rPr>
                <w:rFonts w:hint="eastAsia" w:hAnsi="宋体" w:cs="宋体"/>
                <w:b/>
                <w:bCs/>
                <w:kern w:val="0"/>
                <w:sz w:val="21"/>
                <w:szCs w:val="21"/>
              </w:rPr>
              <w:t>三层</w:t>
            </w:r>
          </w:p>
        </w:tc>
        <w:tc>
          <w:tcPr>
            <w:tcW w:w="2336"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8</w:t>
            </w:r>
          </w:p>
        </w:tc>
        <w:tc>
          <w:tcPr>
            <w:tcW w:w="1913"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21</w:t>
            </w:r>
          </w:p>
        </w:tc>
        <w:tc>
          <w:tcPr>
            <w:tcW w:w="992" w:type="dxa"/>
            <w:tcBorders>
              <w:top w:val="nil"/>
              <w:left w:val="nil"/>
              <w:bottom w:val="single" w:color="auto" w:sz="4" w:space="0"/>
              <w:right w:val="double" w:color="auto" w:sz="6" w:space="0"/>
            </w:tcBorders>
            <w:shd w:val="clear" w:color="000000" w:fill="F2F2F2"/>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主机房D</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主机房E</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6</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17</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核心网络机房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3#变配电室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5</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5#变配电室</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6</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新风兼事故排风机房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7</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空调风柜房</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四</w:t>
            </w:r>
          </w:p>
        </w:tc>
        <w:tc>
          <w:tcPr>
            <w:tcW w:w="2980" w:type="dxa"/>
            <w:tcBorders>
              <w:top w:val="nil"/>
              <w:left w:val="nil"/>
              <w:bottom w:val="single" w:color="auto" w:sz="4" w:space="0"/>
              <w:right w:val="single" w:color="auto" w:sz="4" w:space="0"/>
            </w:tcBorders>
            <w:shd w:val="clear" w:color="000000" w:fill="F2F2F2"/>
            <w:noWrap/>
            <w:vAlign w:val="center"/>
          </w:tcPr>
          <w:p>
            <w:pPr>
              <w:widowControl/>
              <w:jc w:val="left"/>
              <w:rPr>
                <w:rFonts w:hAnsi="宋体" w:cs="宋体"/>
                <w:b/>
                <w:bCs/>
                <w:kern w:val="0"/>
                <w:sz w:val="21"/>
                <w:szCs w:val="21"/>
              </w:rPr>
            </w:pPr>
            <w:r>
              <w:rPr>
                <w:rFonts w:hint="eastAsia" w:hAnsi="宋体" w:cs="宋体"/>
                <w:b/>
                <w:bCs/>
                <w:kern w:val="0"/>
                <w:sz w:val="21"/>
                <w:szCs w:val="21"/>
              </w:rPr>
              <w:t>四层</w:t>
            </w:r>
          </w:p>
        </w:tc>
        <w:tc>
          <w:tcPr>
            <w:tcW w:w="2336"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0</w:t>
            </w:r>
          </w:p>
        </w:tc>
        <w:tc>
          <w:tcPr>
            <w:tcW w:w="1913" w:type="dxa"/>
            <w:tcBorders>
              <w:top w:val="nil"/>
              <w:left w:val="nil"/>
              <w:bottom w:val="single" w:color="auto" w:sz="4"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6</w:t>
            </w:r>
          </w:p>
        </w:tc>
        <w:tc>
          <w:tcPr>
            <w:tcW w:w="992" w:type="dxa"/>
            <w:tcBorders>
              <w:top w:val="nil"/>
              <w:left w:val="nil"/>
              <w:bottom w:val="single" w:color="auto" w:sz="4" w:space="0"/>
              <w:right w:val="double" w:color="auto" w:sz="6"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监控中心（ECC）</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主机房F</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测试机房一</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2980" w:type="dxa"/>
            <w:tcBorders>
              <w:top w:val="nil"/>
              <w:left w:val="nil"/>
              <w:bottom w:val="single" w:color="auto" w:sz="4" w:space="0"/>
              <w:right w:val="single" w:color="auto" w:sz="4" w:space="0"/>
            </w:tcBorders>
            <w:shd w:val="clear" w:color="000000" w:fill="FFFFFF"/>
            <w:noWrap/>
            <w:vAlign w:val="center"/>
          </w:tcPr>
          <w:p>
            <w:pPr>
              <w:widowControl/>
              <w:jc w:val="left"/>
              <w:rPr>
                <w:rFonts w:hAnsi="宋体" w:cs="宋体"/>
                <w:kern w:val="0"/>
                <w:sz w:val="21"/>
                <w:szCs w:val="21"/>
              </w:rPr>
            </w:pPr>
            <w:r>
              <w:rPr>
                <w:rFonts w:hint="eastAsia" w:hAnsi="宋体" w:cs="宋体"/>
                <w:kern w:val="0"/>
                <w:sz w:val="21"/>
                <w:szCs w:val="21"/>
              </w:rPr>
              <w:t>测试机房二</w:t>
            </w:r>
          </w:p>
        </w:tc>
        <w:tc>
          <w:tcPr>
            <w:tcW w:w="2336"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1913" w:type="dxa"/>
            <w:tcBorders>
              <w:top w:val="nil"/>
              <w:left w:val="nil"/>
              <w:bottom w:val="single" w:color="auto" w:sz="4" w:space="0"/>
              <w:right w:val="single" w:color="auto" w:sz="4" w:space="0"/>
            </w:tcBorders>
            <w:shd w:val="clear" w:color="000000" w:fill="FFFFFF"/>
            <w:noWrap/>
            <w:vAlign w:val="center"/>
          </w:tcPr>
          <w:p>
            <w:pPr>
              <w:widowControl/>
              <w:jc w:val="center"/>
              <w:rPr>
                <w:rFonts w:hAnsi="宋体" w:cs="宋体"/>
                <w:kern w:val="0"/>
                <w:sz w:val="21"/>
                <w:szCs w:val="21"/>
              </w:rPr>
            </w:pPr>
          </w:p>
        </w:tc>
        <w:tc>
          <w:tcPr>
            <w:tcW w:w="992" w:type="dxa"/>
            <w:tcBorders>
              <w:top w:val="nil"/>
              <w:left w:val="nil"/>
              <w:bottom w:val="single" w:color="auto" w:sz="4" w:space="0"/>
              <w:right w:val="double" w:color="auto" w:sz="6" w:space="0"/>
            </w:tcBorders>
            <w:shd w:val="clear" w:color="000000" w:fill="FFFFFF"/>
            <w:noWrap/>
            <w:vAlign w:val="center"/>
          </w:tcPr>
          <w:p>
            <w:pPr>
              <w:widowControl/>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828" w:type="dxa"/>
            <w:tcBorders>
              <w:top w:val="nil"/>
              <w:left w:val="double" w:color="auto" w:sz="6" w:space="0"/>
              <w:bottom w:val="double" w:color="auto" w:sz="6"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五</w:t>
            </w:r>
          </w:p>
        </w:tc>
        <w:tc>
          <w:tcPr>
            <w:tcW w:w="2980" w:type="dxa"/>
            <w:tcBorders>
              <w:top w:val="nil"/>
              <w:left w:val="nil"/>
              <w:bottom w:val="double" w:color="auto" w:sz="6"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合计</w:t>
            </w:r>
          </w:p>
        </w:tc>
        <w:tc>
          <w:tcPr>
            <w:tcW w:w="2336" w:type="dxa"/>
            <w:tcBorders>
              <w:top w:val="nil"/>
              <w:left w:val="nil"/>
              <w:bottom w:val="double" w:color="auto" w:sz="6"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26</w:t>
            </w:r>
          </w:p>
        </w:tc>
        <w:tc>
          <w:tcPr>
            <w:tcW w:w="1913" w:type="dxa"/>
            <w:tcBorders>
              <w:top w:val="nil"/>
              <w:left w:val="nil"/>
              <w:bottom w:val="double" w:color="auto" w:sz="6" w:space="0"/>
              <w:right w:val="single" w:color="auto" w:sz="4"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81</w:t>
            </w:r>
          </w:p>
        </w:tc>
        <w:tc>
          <w:tcPr>
            <w:tcW w:w="992" w:type="dxa"/>
            <w:tcBorders>
              <w:top w:val="nil"/>
              <w:left w:val="nil"/>
              <w:bottom w:val="double" w:color="auto" w:sz="6" w:space="0"/>
              <w:right w:val="double" w:color="auto" w:sz="6" w:space="0"/>
            </w:tcBorders>
            <w:shd w:val="clear" w:color="000000" w:fill="F2F2F2"/>
            <w:noWrap/>
            <w:vAlign w:val="center"/>
          </w:tcPr>
          <w:p>
            <w:pPr>
              <w:widowControl/>
              <w:jc w:val="center"/>
              <w:rPr>
                <w:rFonts w:hAnsi="宋体" w:cs="宋体"/>
                <w:b/>
                <w:bCs/>
                <w:kern w:val="0"/>
                <w:sz w:val="21"/>
                <w:szCs w:val="21"/>
              </w:rPr>
            </w:pPr>
            <w:r>
              <w:rPr>
                <w:rFonts w:hint="eastAsia" w:hAnsi="宋体" w:cs="宋体"/>
                <w:b/>
                <w:bCs/>
                <w:kern w:val="0"/>
                <w:sz w:val="21"/>
                <w:szCs w:val="21"/>
              </w:rPr>
              <w:t>　</w:t>
            </w:r>
          </w:p>
        </w:tc>
      </w:tr>
    </w:tbl>
    <w:p>
      <w:pPr>
        <w:pStyle w:val="6"/>
        <w:numPr>
          <w:ilvl w:val="3"/>
          <w:numId w:val="72"/>
        </w:numPr>
        <w:rPr>
          <w:color w:val="auto"/>
        </w:rPr>
      </w:pPr>
      <w:r>
        <w:rPr>
          <w:rFonts w:hint="eastAsia"/>
          <w:color w:val="auto"/>
        </w:rPr>
        <w:t>综合安防集成管理系统</w:t>
      </w:r>
    </w:p>
    <w:p>
      <w:pPr>
        <w:ind w:firstLine="480" w:firstLineChars="200"/>
        <w:rPr>
          <w:rFonts w:hAnsi="宋体" w:cs="Arial"/>
        </w:rPr>
      </w:pPr>
      <w:r>
        <w:rPr>
          <w:rFonts w:hint="eastAsia" w:hAnsi="宋体" w:cs="Arial"/>
        </w:rPr>
        <w:t>综合安防集成管理系统通过统一的系统平台将安全防范各个子系统联网，包括视频监控系统、入侵报警系统、门禁控制系统，实现分控中心对相关建筑内整体信息的系统集成和自动化管理。安防信息综合管理系统具有标准、开放的通信接口和协议，以便进行综合系统集成，系统留有与公安110报警中心联网的通信接口；系统作为整个园区安防系统的子系统，留有与园区安防系统联网的通信接口，可以实现部分信息的共享；作为数据中心监控系统子系统，安防系统可以提供接口集成至数据中心监控系统。系统集成平台具有快速的联动功能，实现多种安全防范策略：视频图像管理、电子地图、历史图像查询、报警/事件与视频监控系统复核、远程管理及指挥等。</w:t>
      </w:r>
    </w:p>
    <w:p>
      <w:pPr>
        <w:pStyle w:val="5"/>
        <w:numPr>
          <w:ilvl w:val="2"/>
          <w:numId w:val="72"/>
        </w:numPr>
      </w:pPr>
      <w:bookmarkStart w:id="31" w:name="_Toc4208"/>
      <w:r>
        <w:rPr>
          <w:rFonts w:hint="eastAsia"/>
        </w:rPr>
        <w:t>机房综合布线系统</w:t>
      </w:r>
      <w:bookmarkEnd w:id="31"/>
    </w:p>
    <w:p>
      <w:pPr>
        <w:pStyle w:val="135"/>
        <w:numPr>
          <w:ilvl w:val="2"/>
          <w:numId w:val="75"/>
        </w:numPr>
        <w:spacing w:before="120"/>
        <w:ind w:left="0" w:firstLine="482"/>
        <w:rPr>
          <w:rFonts w:hAnsi="宋体" w:cs="Arial"/>
          <w:b/>
          <w:bCs/>
        </w:rPr>
      </w:pPr>
      <w:r>
        <w:rPr>
          <w:rFonts w:hint="eastAsia" w:hAnsi="宋体" w:cs="Arial"/>
          <w:b/>
          <w:bCs/>
        </w:rPr>
        <w:tab/>
      </w:r>
      <w:r>
        <w:rPr>
          <w:rFonts w:hint="eastAsia" w:hAnsi="宋体" w:cs="Arial"/>
          <w:b/>
          <w:bCs/>
        </w:rPr>
        <w:t>机房综合布线系统整体路由</w:t>
      </w:r>
    </w:p>
    <w:p>
      <w:pPr>
        <w:rPr>
          <w:rFonts w:hAnsi="宋体" w:cs="Arial"/>
        </w:rPr>
      </w:pPr>
      <w:r>
        <w:drawing>
          <wp:inline distT="0" distB="0" distL="0" distR="0">
            <wp:extent cx="5758815" cy="3371850"/>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5771650" cy="3379008"/>
                    </a:xfrm>
                    <a:prstGeom prst="rect">
                      <a:avLst/>
                    </a:prstGeom>
                    <a:noFill/>
                    <a:ln>
                      <a:noFill/>
                    </a:ln>
                  </pic:spPr>
                </pic:pic>
              </a:graphicData>
            </a:graphic>
          </wp:inline>
        </w:drawing>
      </w:r>
    </w:p>
    <w:p>
      <w:pPr>
        <w:pStyle w:val="10"/>
        <w:numPr>
          <w:ilvl w:val="7"/>
          <w:numId w:val="72"/>
        </w:numPr>
      </w:pPr>
      <w:bookmarkStart w:id="32" w:name="_Toc13314"/>
      <w:r>
        <w:rPr>
          <w:rFonts w:hint="eastAsia"/>
        </w:rPr>
        <w:t>云计算中心光纤配线路由图</w:t>
      </w:r>
      <w:bookmarkEnd w:id="32"/>
    </w:p>
    <w:p>
      <w:pPr>
        <w:pStyle w:val="135"/>
        <w:numPr>
          <w:ilvl w:val="2"/>
          <w:numId w:val="75"/>
        </w:numPr>
        <w:spacing w:before="120"/>
        <w:ind w:left="0" w:firstLine="482"/>
        <w:rPr>
          <w:rFonts w:hAnsi="宋体" w:cs="Arial"/>
          <w:b/>
          <w:bCs/>
        </w:rPr>
      </w:pPr>
      <w:r>
        <w:rPr>
          <w:rFonts w:hint="eastAsia" w:hAnsi="宋体" w:cs="Arial"/>
          <w:b/>
          <w:bCs/>
        </w:rPr>
        <w:tab/>
      </w:r>
      <w:r>
        <w:rPr>
          <w:rFonts w:hint="eastAsia" w:hAnsi="宋体" w:cs="Arial"/>
          <w:b/>
          <w:bCs/>
        </w:rPr>
        <w:t>布线方式</w:t>
      </w:r>
    </w:p>
    <w:p>
      <w:pPr>
        <w:ind w:firstLine="480" w:firstLineChars="200"/>
        <w:rPr>
          <w:rFonts w:hAnsi="宋体" w:cs="Arial"/>
        </w:rPr>
      </w:pPr>
      <w:r>
        <w:rPr>
          <w:rFonts w:hint="eastAsia" w:hAnsi="宋体" w:cs="Arial"/>
        </w:rPr>
        <w:t>云计算中心机房由五层楼组成，一、二楼为传统数据中心机房，采用 EOR(列头柜)布线方式；三、四楼为模块化数据中心机房，采用ToR(柜顶直连)方式。</w:t>
      </w:r>
    </w:p>
    <w:p>
      <w:pPr>
        <w:pStyle w:val="135"/>
        <w:numPr>
          <w:ilvl w:val="2"/>
          <w:numId w:val="75"/>
        </w:numPr>
        <w:spacing w:before="120"/>
        <w:ind w:left="0" w:firstLine="482"/>
        <w:rPr>
          <w:rFonts w:hAnsi="宋体" w:cs="Arial"/>
          <w:b/>
          <w:bCs/>
        </w:rPr>
      </w:pPr>
      <w:r>
        <w:rPr>
          <w:rFonts w:hint="eastAsia" w:hAnsi="宋体" w:cs="Arial"/>
          <w:b/>
          <w:bCs/>
        </w:rPr>
        <w:tab/>
      </w:r>
      <w:r>
        <w:rPr>
          <w:rFonts w:hint="eastAsia" w:hAnsi="宋体" w:cs="Arial"/>
          <w:b/>
          <w:bCs/>
        </w:rPr>
        <w:t>外部网络接入核心管理区（ER-MDA）路径</w:t>
      </w:r>
    </w:p>
    <w:p>
      <w:pPr>
        <w:ind w:firstLine="480" w:firstLineChars="200"/>
        <w:rPr>
          <w:rFonts w:hAnsi="宋体" w:cs="Arial"/>
        </w:rPr>
      </w:pPr>
      <w:r>
        <w:rPr>
          <w:rFonts w:hint="eastAsia" w:hAnsi="宋体" w:cs="Arial"/>
        </w:rPr>
        <w:t>一楼有三个接入间(ER)分别接入三家电信运营商，从三个接入间(ER)到二 楼和三楼主配线区(MDA)分别布放一条 24芯MPO多模光缆、一条24芯MPO单模光缆、24条Cat.6A屏蔽铜缆，机柜内光纤按照 12：1配备跳线、铜缆按照24:1配备跳线。接入间(ER)到二楼主配线区如下图:</w:t>
      </w:r>
    </w:p>
    <w:p>
      <w:pPr>
        <w:jc w:val="center"/>
        <w:rPr>
          <w:rFonts w:hAnsi="宋体" w:cs="Arial"/>
        </w:rPr>
      </w:pPr>
      <w:r>
        <w:rPr>
          <w:position w:val="-96"/>
          <w:sz w:val="20"/>
          <w:szCs w:val="20"/>
        </w:rPr>
        <w:drawing>
          <wp:inline distT="0" distB="0" distL="0" distR="0">
            <wp:extent cx="4886325" cy="2581275"/>
            <wp:effectExtent l="0" t="0" r="9525" b="9525"/>
            <wp:docPr id="3" name="image1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20.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4886325" cy="2581275"/>
                    </a:xfrm>
                    <a:prstGeom prst="rect">
                      <a:avLst/>
                    </a:prstGeom>
                    <a:noFill/>
                    <a:ln>
                      <a:noFill/>
                    </a:ln>
                  </pic:spPr>
                </pic:pic>
              </a:graphicData>
            </a:graphic>
          </wp:inline>
        </w:drawing>
      </w:r>
    </w:p>
    <w:p>
      <w:pPr>
        <w:pStyle w:val="10"/>
        <w:numPr>
          <w:ilvl w:val="7"/>
          <w:numId w:val="72"/>
        </w:numPr>
      </w:pPr>
      <w:bookmarkStart w:id="33" w:name="_Toc9144"/>
      <w:r>
        <w:rPr>
          <w:rFonts w:hint="eastAsia"/>
        </w:rPr>
        <w:t>ER-MDA结构示意图</w:t>
      </w:r>
      <w:bookmarkEnd w:id="33"/>
    </w:p>
    <w:p>
      <w:pPr>
        <w:ind w:firstLine="480" w:firstLineChars="200"/>
        <w:rPr>
          <w:rFonts w:hAnsi="宋体" w:cs="Arial"/>
        </w:rPr>
      </w:pPr>
      <w:r>
        <w:rPr>
          <w:rFonts w:hint="eastAsia" w:hAnsi="宋体" w:cs="Arial"/>
        </w:rPr>
        <w:t>接入间(ER)到三楼主配线区如下图：</w:t>
      </w:r>
    </w:p>
    <w:p>
      <w:pPr>
        <w:jc w:val="center"/>
        <w:rPr>
          <w:rFonts w:hAnsi="宋体" w:cs="Arial"/>
        </w:rPr>
      </w:pPr>
      <w:r>
        <w:drawing>
          <wp:inline distT="0" distB="0" distL="0" distR="0">
            <wp:extent cx="5610225" cy="3124200"/>
            <wp:effectExtent l="0" t="0" r="9525" b="0"/>
            <wp:docPr id="4" name="image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21.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5610225" cy="3124200"/>
                    </a:xfrm>
                    <a:prstGeom prst="rect">
                      <a:avLst/>
                    </a:prstGeom>
                    <a:noFill/>
                    <a:ln>
                      <a:noFill/>
                    </a:ln>
                  </pic:spPr>
                </pic:pic>
              </a:graphicData>
            </a:graphic>
          </wp:inline>
        </w:drawing>
      </w:r>
    </w:p>
    <w:p>
      <w:pPr>
        <w:pStyle w:val="10"/>
        <w:numPr>
          <w:ilvl w:val="7"/>
          <w:numId w:val="72"/>
        </w:numPr>
      </w:pPr>
      <w:bookmarkStart w:id="34" w:name="_Toc31060"/>
      <w:r>
        <w:rPr>
          <w:rFonts w:hint="eastAsia"/>
        </w:rPr>
        <w:t>二楼主配线区和三楼主配线区结构示意图</w:t>
      </w:r>
      <w:bookmarkEnd w:id="34"/>
    </w:p>
    <w:p>
      <w:pPr>
        <w:pStyle w:val="135"/>
        <w:numPr>
          <w:ilvl w:val="2"/>
          <w:numId w:val="75"/>
        </w:numPr>
        <w:spacing w:before="120"/>
        <w:ind w:left="0" w:firstLine="482"/>
        <w:rPr>
          <w:rFonts w:hAnsi="宋体" w:cs="Arial"/>
          <w:b/>
          <w:bCs/>
        </w:rPr>
      </w:pPr>
      <w:r>
        <w:rPr>
          <w:rFonts w:hint="eastAsia" w:hAnsi="宋体" w:cs="Arial"/>
          <w:b/>
          <w:bCs/>
        </w:rPr>
        <w:tab/>
      </w:r>
      <w:r>
        <w:rPr>
          <w:rFonts w:hint="eastAsia" w:hAnsi="宋体" w:cs="Arial"/>
          <w:b/>
          <w:bCs/>
        </w:rPr>
        <w:t>层间走线路径</w:t>
      </w:r>
    </w:p>
    <w:p>
      <w:pPr>
        <w:ind w:firstLine="480" w:firstLineChars="200"/>
        <w:rPr>
          <w:rFonts w:hAnsi="宋体" w:cs="Arial"/>
        </w:rPr>
      </w:pPr>
      <w:r>
        <w:rPr>
          <w:rFonts w:hint="eastAsia" w:hAnsi="宋体" w:cs="Arial"/>
        </w:rPr>
        <w:t>一楼和二楼各主机房均设置楼层配线区(IDA)，从二楼主配线区(MDA)到楼 层配线区(IDA)采用 6 条 24 芯 MPO 光缆，从楼层配线区(IDA)到列头柜(HDA) 采用 6 条 24 芯 MPO 光缆，从列头柜(HDA)到设备区(EDA)敷设 24 条 Cat.6A 屏蔽铜缆, 设备 区(EDA)机柜铜缆按照 24:1 配备跳线。一、二层传统机房布线结构示意图如下：</w:t>
      </w:r>
    </w:p>
    <w:p>
      <w:pPr>
        <w:jc w:val="center"/>
        <w:rPr>
          <w:rFonts w:hAnsi="宋体" w:cs="Arial"/>
        </w:rPr>
      </w:pPr>
      <w:r>
        <w:rPr>
          <w:rFonts w:hAnsi="宋体"/>
        </w:rPr>
        <w:drawing>
          <wp:inline distT="0" distB="0" distL="0" distR="0">
            <wp:extent cx="5753100" cy="2867025"/>
            <wp:effectExtent l="0" t="0" r="0" b="9525"/>
            <wp:docPr id="5" name="图片 11" descr="C:\Users\yangqq\AppData\Local\Temp\155607620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1" descr="C:\Users\yangqq\AppData\Local\Temp\1556076205(1).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5753100" cy="2867025"/>
                    </a:xfrm>
                    <a:prstGeom prst="rect">
                      <a:avLst/>
                    </a:prstGeom>
                    <a:noFill/>
                    <a:ln>
                      <a:noFill/>
                    </a:ln>
                  </pic:spPr>
                </pic:pic>
              </a:graphicData>
            </a:graphic>
          </wp:inline>
        </w:drawing>
      </w:r>
    </w:p>
    <w:p>
      <w:pPr>
        <w:pStyle w:val="10"/>
        <w:numPr>
          <w:ilvl w:val="7"/>
          <w:numId w:val="72"/>
        </w:numPr>
      </w:pPr>
      <w:bookmarkStart w:id="35" w:name="_Toc8628"/>
      <w:r>
        <w:rPr>
          <w:rFonts w:hint="eastAsia"/>
        </w:rPr>
        <w:t>一、二层传统机房布线机构示意图</w:t>
      </w:r>
      <w:bookmarkEnd w:id="35"/>
    </w:p>
    <w:p>
      <w:pPr>
        <w:ind w:firstLine="480" w:firstLineChars="200"/>
        <w:rPr>
          <w:rFonts w:hAnsi="宋体" w:cs="Arial"/>
        </w:rPr>
      </w:pPr>
      <w:r>
        <w:rPr>
          <w:rFonts w:hint="eastAsia" w:hAnsi="宋体" w:cs="Arial"/>
        </w:rPr>
        <w:t xml:space="preserve">三楼和四层模块化机房每个模块内设置区域配线区(ZDA)，从三楼核心机房主配线区(MDA)到模块化机柜配线区(ZDA)采用2条24芯MPO光缆，从区域配线区 (ZDA)到设备区(EDA)采用1条12芯MPO光缆，设备区(EDA)机柜光纤按照12：1 配备跳线。 </w:t>
      </w:r>
    </w:p>
    <w:p>
      <w:pPr>
        <w:ind w:firstLine="480" w:firstLineChars="200"/>
        <w:rPr>
          <w:rFonts w:hAnsi="宋体" w:cs="Arial"/>
        </w:rPr>
      </w:pPr>
      <w:r>
        <w:rPr>
          <w:rFonts w:hint="eastAsia" w:hAnsi="宋体" w:cs="Arial"/>
        </w:rPr>
        <w:t>为了方便机房管理维护，铜缆跳线根据不同网络采用不同颜色，如电子政务信息网采用蓝色、电子政务外网采用白色等。</w:t>
      </w:r>
    </w:p>
    <w:p>
      <w:pPr>
        <w:ind w:firstLine="480" w:firstLineChars="200"/>
        <w:rPr>
          <w:rFonts w:hAnsi="宋体" w:cs="Arial"/>
        </w:rPr>
      </w:pPr>
      <w:r>
        <w:rPr>
          <w:rFonts w:hint="eastAsia" w:hAnsi="宋体" w:cs="Arial"/>
        </w:rPr>
        <w:t>三、四层模块化机房布线机构示意图如下：</w:t>
      </w:r>
    </w:p>
    <w:p>
      <w:pPr>
        <w:jc w:val="center"/>
        <w:rPr>
          <w:rFonts w:hAnsi="宋体" w:cs="Arial"/>
        </w:rPr>
      </w:pPr>
      <w:r>
        <w:rPr>
          <w:position w:val="1"/>
        </w:rPr>
        <w:drawing>
          <wp:inline distT="0" distB="0" distL="0" distR="0">
            <wp:extent cx="5324475" cy="2952750"/>
            <wp:effectExtent l="0" t="0" r="9525" b="0"/>
            <wp:docPr id="7" name="image1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126.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5324475" cy="2952750"/>
                    </a:xfrm>
                    <a:prstGeom prst="rect">
                      <a:avLst/>
                    </a:prstGeom>
                    <a:noFill/>
                    <a:ln>
                      <a:noFill/>
                    </a:ln>
                  </pic:spPr>
                </pic:pic>
              </a:graphicData>
            </a:graphic>
          </wp:inline>
        </w:drawing>
      </w:r>
    </w:p>
    <w:p>
      <w:pPr>
        <w:pStyle w:val="10"/>
        <w:numPr>
          <w:ilvl w:val="7"/>
          <w:numId w:val="72"/>
        </w:numPr>
      </w:pPr>
      <w:bookmarkStart w:id="36" w:name="_Toc9899"/>
      <w:r>
        <w:rPr>
          <w:rFonts w:hint="eastAsia"/>
        </w:rPr>
        <w:t>四层模块化机房布线机构示意图</w:t>
      </w:r>
      <w:bookmarkEnd w:id="36"/>
    </w:p>
    <w:p>
      <w:pPr>
        <w:pStyle w:val="5"/>
        <w:numPr>
          <w:ilvl w:val="2"/>
          <w:numId w:val="72"/>
        </w:numPr>
      </w:pPr>
      <w:bookmarkStart w:id="37" w:name="_Toc9112"/>
      <w:r>
        <w:rPr>
          <w:rFonts w:hint="eastAsia"/>
        </w:rPr>
        <w:t>机房防雷接地系统</w:t>
      </w:r>
      <w:bookmarkEnd w:id="37"/>
    </w:p>
    <w:p>
      <w:pPr>
        <w:ind w:firstLine="480" w:firstLineChars="200"/>
        <w:rPr>
          <w:rFonts w:hAnsi="宋体" w:cs="Arial"/>
        </w:rPr>
      </w:pPr>
      <w:r>
        <w:rPr>
          <w:rFonts w:hint="eastAsia" w:hAnsi="宋体" w:cs="Arial"/>
        </w:rPr>
        <w:t>本机房电源系统防雷设计按A级雷电防护等级进行。中心机房等电位接地采取M型等电位接地方式，与建筑物其它功能性接地连接在一起构成共用的接地系统。</w:t>
      </w:r>
    </w:p>
    <w:p>
      <w:pPr>
        <w:pStyle w:val="6"/>
        <w:numPr>
          <w:ilvl w:val="3"/>
          <w:numId w:val="72"/>
        </w:numPr>
        <w:rPr>
          <w:color w:val="auto"/>
        </w:rPr>
      </w:pPr>
      <w:r>
        <w:rPr>
          <w:rFonts w:hint="eastAsia"/>
          <w:color w:val="auto"/>
        </w:rPr>
        <w:t>机房防雷系统</w:t>
      </w:r>
    </w:p>
    <w:p>
      <w:pPr>
        <w:ind w:firstLine="480" w:firstLineChars="200"/>
        <w:rPr>
          <w:rFonts w:hAnsi="宋体" w:cs="Arial"/>
        </w:rPr>
      </w:pPr>
      <w:r>
        <w:rPr>
          <w:rFonts w:hint="eastAsia" w:hAnsi="宋体" w:cs="Arial"/>
        </w:rPr>
        <w:t>机房按照四级防雷标准设计。</w:t>
      </w:r>
    </w:p>
    <w:p>
      <w:pPr>
        <w:jc w:val="center"/>
        <w:rPr>
          <w:rFonts w:hAnsi="宋体" w:cs="Arial"/>
        </w:rPr>
      </w:pPr>
      <w:r>
        <w:drawing>
          <wp:inline distT="0" distB="0" distL="0" distR="0">
            <wp:extent cx="5695950" cy="2257425"/>
            <wp:effectExtent l="0" t="0" r="0" b="9525"/>
            <wp:docPr id="8" name="图片 2" descr="C:\Users\yangqq\AppData\Local\Temp\155607562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C:\Users\yangqq\AppData\Local\Temp\1556075628(1).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5695950" cy="2257425"/>
                    </a:xfrm>
                    <a:prstGeom prst="rect">
                      <a:avLst/>
                    </a:prstGeom>
                    <a:noFill/>
                    <a:ln>
                      <a:noFill/>
                    </a:ln>
                  </pic:spPr>
                </pic:pic>
              </a:graphicData>
            </a:graphic>
          </wp:inline>
        </w:drawing>
      </w:r>
    </w:p>
    <w:p>
      <w:pPr>
        <w:pStyle w:val="10"/>
        <w:numPr>
          <w:ilvl w:val="7"/>
          <w:numId w:val="72"/>
        </w:numPr>
      </w:pPr>
      <w:bookmarkStart w:id="38" w:name="_Toc28782"/>
      <w:r>
        <w:rPr>
          <w:rFonts w:hint="eastAsia"/>
        </w:rPr>
        <w:t>机房防雷设计图</w:t>
      </w:r>
      <w:bookmarkEnd w:id="38"/>
    </w:p>
    <w:p>
      <w:pPr>
        <w:pStyle w:val="135"/>
        <w:numPr>
          <w:ilvl w:val="2"/>
          <w:numId w:val="76"/>
        </w:numPr>
        <w:spacing w:before="120"/>
        <w:ind w:left="0" w:firstLine="482"/>
        <w:rPr>
          <w:rFonts w:hAnsi="宋体" w:cs="Arial"/>
          <w:b/>
          <w:bCs/>
        </w:rPr>
      </w:pPr>
      <w:r>
        <w:rPr>
          <w:rFonts w:hint="eastAsia" w:hAnsi="宋体" w:cs="Arial"/>
          <w:b/>
          <w:bCs/>
        </w:rPr>
        <w:t>第一级电源防雷</w:t>
      </w:r>
    </w:p>
    <w:p>
      <w:pPr>
        <w:ind w:firstLine="480" w:firstLineChars="200"/>
        <w:rPr>
          <w:rFonts w:hAnsi="宋体" w:cs="Arial"/>
        </w:rPr>
      </w:pPr>
      <w:r>
        <w:rPr>
          <w:rFonts w:hint="eastAsia" w:hAnsi="宋体" w:cs="Arial"/>
        </w:rPr>
        <w:t>在大楼低压总配电室设计安装第一级I级试验（10/350us）Iimp冲击电流25KA的电源防雷器。作为机房接入电源一级防雷。</w:t>
      </w:r>
    </w:p>
    <w:p>
      <w:pPr>
        <w:pStyle w:val="135"/>
        <w:numPr>
          <w:ilvl w:val="2"/>
          <w:numId w:val="76"/>
        </w:numPr>
        <w:spacing w:before="120"/>
        <w:ind w:left="0" w:firstLine="482"/>
        <w:rPr>
          <w:rFonts w:hAnsi="宋体" w:cs="Arial"/>
          <w:b/>
          <w:bCs/>
        </w:rPr>
      </w:pPr>
      <w:r>
        <w:rPr>
          <w:rFonts w:hint="eastAsia" w:hAnsi="宋体" w:cs="Arial"/>
          <w:b/>
          <w:bCs/>
        </w:rPr>
        <w:t>第二级电源防雷</w:t>
      </w:r>
    </w:p>
    <w:p>
      <w:pPr>
        <w:ind w:firstLine="480" w:firstLineChars="200"/>
        <w:rPr>
          <w:rFonts w:hAnsi="宋体" w:cs="Arial"/>
        </w:rPr>
      </w:pPr>
      <w:r>
        <w:rPr>
          <w:rFonts w:hint="eastAsia" w:hAnsi="宋体" w:cs="Arial"/>
        </w:rPr>
        <w:t>在中心机房ATS切换柜的输入电源侧装设II级试验（8/20us）的电涌保护器，采用In标称通流量为40kA（8/20us），作为电源系统第二级防雷。</w:t>
      </w:r>
    </w:p>
    <w:p>
      <w:pPr>
        <w:pStyle w:val="135"/>
        <w:numPr>
          <w:ilvl w:val="2"/>
          <w:numId w:val="76"/>
        </w:numPr>
        <w:spacing w:before="120"/>
        <w:ind w:left="0" w:firstLine="482"/>
        <w:rPr>
          <w:rFonts w:hAnsi="宋体" w:cs="Arial"/>
          <w:b/>
          <w:bCs/>
        </w:rPr>
      </w:pPr>
      <w:r>
        <w:rPr>
          <w:rFonts w:hint="eastAsia" w:hAnsi="宋体" w:cs="Arial"/>
          <w:b/>
          <w:bCs/>
        </w:rPr>
        <w:t>第三级电源防雷</w:t>
      </w:r>
    </w:p>
    <w:p>
      <w:pPr>
        <w:ind w:firstLine="480" w:firstLineChars="200"/>
        <w:rPr>
          <w:rFonts w:hAnsi="宋体" w:cs="Arial"/>
        </w:rPr>
      </w:pPr>
      <w:r>
        <w:rPr>
          <w:rFonts w:hint="eastAsia" w:hAnsi="宋体" w:cs="Arial"/>
        </w:rPr>
        <w:t>第三级安装在市电配电柜和UPS输入输出配电柜的输出电源侧装设II级试验（8/20us）的电涌保护器，采用In标称通流量为20kA（8/20us），作为电源系统第三级防雷。</w:t>
      </w:r>
    </w:p>
    <w:p>
      <w:pPr>
        <w:pStyle w:val="135"/>
        <w:numPr>
          <w:ilvl w:val="2"/>
          <w:numId w:val="76"/>
        </w:numPr>
        <w:spacing w:before="120"/>
        <w:ind w:left="0" w:firstLine="482"/>
        <w:rPr>
          <w:rFonts w:hAnsi="宋体" w:cs="Arial"/>
          <w:b/>
          <w:bCs/>
        </w:rPr>
      </w:pPr>
      <w:r>
        <w:rPr>
          <w:rFonts w:hint="eastAsia" w:hAnsi="宋体" w:cs="Arial"/>
          <w:b/>
          <w:bCs/>
        </w:rPr>
        <w:t>第四级设备精细保护</w:t>
      </w:r>
    </w:p>
    <w:p>
      <w:pPr>
        <w:ind w:firstLine="480" w:firstLineChars="200"/>
        <w:rPr>
          <w:rFonts w:hAnsi="宋体" w:cs="Arial"/>
        </w:rPr>
      </w:pPr>
      <w:r>
        <w:rPr>
          <w:rFonts w:hint="eastAsia" w:hAnsi="宋体" w:cs="Arial"/>
        </w:rPr>
        <w:t>在机房设备机柜上，采用In标称通流量为5kA（8/20us），专业PDU防雷插排代替普通的电源插排。给机房设备以精细防雷保护，确保机房设备不被雷电损坏。</w:t>
      </w:r>
    </w:p>
    <w:p>
      <w:pPr>
        <w:pStyle w:val="135"/>
        <w:numPr>
          <w:ilvl w:val="2"/>
          <w:numId w:val="76"/>
        </w:numPr>
        <w:spacing w:before="120"/>
        <w:ind w:left="0" w:firstLine="482"/>
        <w:rPr>
          <w:rFonts w:hAnsi="宋体" w:cs="Arial"/>
          <w:b/>
          <w:bCs/>
        </w:rPr>
      </w:pPr>
      <w:r>
        <w:rPr>
          <w:rFonts w:hint="eastAsia" w:hAnsi="宋体" w:cs="Arial"/>
          <w:b/>
          <w:bCs/>
        </w:rPr>
        <w:t>SPD的接地线就近接PE线或PE母排</w:t>
      </w:r>
    </w:p>
    <w:p>
      <w:pPr>
        <w:ind w:firstLine="480" w:firstLineChars="200"/>
        <w:rPr>
          <w:rFonts w:hAnsi="宋体" w:cs="Arial"/>
        </w:rPr>
      </w:pPr>
      <w:r>
        <w:rPr>
          <w:rFonts w:hint="eastAsia" w:hAnsi="宋体" w:cs="Arial"/>
        </w:rPr>
        <w:t>各线路应采用相应BVR线（黄、绿、红、蓝、黄绿）进行布设。</w:t>
      </w:r>
    </w:p>
    <w:p>
      <w:pPr>
        <w:pStyle w:val="135"/>
        <w:numPr>
          <w:ilvl w:val="2"/>
          <w:numId w:val="76"/>
        </w:numPr>
        <w:spacing w:before="120"/>
        <w:ind w:left="0" w:firstLine="482"/>
        <w:rPr>
          <w:rFonts w:hAnsi="宋体" w:cs="Arial"/>
          <w:b/>
          <w:bCs/>
        </w:rPr>
      </w:pPr>
      <w:r>
        <w:rPr>
          <w:rFonts w:hint="eastAsia" w:hAnsi="宋体" w:cs="Arial"/>
          <w:b/>
          <w:bCs/>
        </w:rPr>
        <w:t>从室外进入中心机房的电话信号线缆</w:t>
      </w:r>
    </w:p>
    <w:p>
      <w:pPr>
        <w:ind w:firstLine="480" w:firstLineChars="200"/>
        <w:rPr>
          <w:rFonts w:hAnsi="宋体" w:cs="Arial"/>
        </w:rPr>
      </w:pPr>
      <w:r>
        <w:rPr>
          <w:rFonts w:hint="eastAsia" w:hAnsi="宋体" w:cs="Arial"/>
        </w:rPr>
        <w:t>安装电话信号防雷器。其它信号进入机房均为光纤。</w:t>
      </w:r>
    </w:p>
    <w:p>
      <w:pPr>
        <w:pStyle w:val="6"/>
        <w:numPr>
          <w:ilvl w:val="3"/>
          <w:numId w:val="72"/>
        </w:numPr>
        <w:rPr>
          <w:color w:val="auto"/>
        </w:rPr>
      </w:pPr>
      <w:r>
        <w:rPr>
          <w:rFonts w:hint="eastAsia"/>
          <w:color w:val="auto"/>
        </w:rPr>
        <w:t>机房接地系统</w:t>
      </w:r>
    </w:p>
    <w:p>
      <w:pPr>
        <w:ind w:firstLine="480" w:firstLineChars="200"/>
        <w:rPr>
          <w:rFonts w:hAnsi="宋体" w:cs="Arial"/>
        </w:rPr>
      </w:pPr>
      <w:r>
        <w:rPr>
          <w:rFonts w:hint="eastAsia" w:hAnsi="宋体" w:cs="Arial"/>
        </w:rPr>
        <w:t>机房等电位接地采用M型等电位接地方式。机房采用大楼基础地为接地体（接地电阻&lt;1Ω）的共用接地系统。</w:t>
      </w:r>
    </w:p>
    <w:p>
      <w:pPr>
        <w:ind w:firstLine="480" w:firstLineChars="200"/>
        <w:rPr>
          <w:rFonts w:hAnsi="宋体" w:cs="Arial"/>
        </w:rPr>
      </w:pPr>
      <w:r>
        <w:rPr>
          <w:rFonts w:hint="eastAsia" w:hAnsi="宋体" w:cs="Arial"/>
        </w:rPr>
        <w:t>M型等电位：采用30mm×3mm铜排于机房内静电地板下敷设，并将30mm×3mm等电位接地母排用绝缘子固定于机房地面上。用 BVR-6mm2 铜线把机房内所有正常工作不带电的设备金属外壳等金属构件都接到均压等电位汇集排上，以实现等电位连接。再从网络中心机房等电位铜排引 BVR-70mm2绝缘电缆沿墙壁就近可靠连接智能化竖井接地铜排。</w:t>
      </w:r>
    </w:p>
    <w:p>
      <w:pPr>
        <w:ind w:firstLine="480" w:firstLineChars="200"/>
        <w:rPr>
          <w:rFonts w:hAnsi="宋体" w:cs="Arial"/>
        </w:rPr>
      </w:pPr>
      <w:r>
        <w:rPr>
          <w:rFonts w:hint="eastAsia" w:hAnsi="宋体" w:cs="Arial"/>
        </w:rPr>
        <w:t>为防止机房内不同接地装置间的电位差引起设备的损坏和危及人员安全，将设备安全保护地和屏蔽网格（静电散流）地间采用等电位连接器进行等电位连接。</w:t>
      </w:r>
    </w:p>
    <w:p>
      <w:pPr>
        <w:ind w:firstLine="480" w:firstLineChars="200"/>
        <w:rPr>
          <w:rFonts w:hAnsi="宋体" w:cs="Arial"/>
        </w:rPr>
      </w:pPr>
      <w:r>
        <w:rPr>
          <w:rFonts w:hint="eastAsia" w:hAnsi="宋体" w:cs="Arial"/>
        </w:rPr>
        <w:t>容易产生静电的饰面金属塑板墙、不锈钢玻璃隔墙均采用导线布成泄漏网，并与机房内接地系统连接。</w:t>
      </w:r>
    </w:p>
    <w:p>
      <w:pPr>
        <w:ind w:firstLine="480" w:firstLineChars="200"/>
        <w:rPr>
          <w:rFonts w:hAnsi="宋体" w:cs="Arial"/>
        </w:rPr>
      </w:pPr>
      <w:r>
        <w:rPr>
          <w:rFonts w:hint="eastAsia" w:hAnsi="宋体" w:cs="Arial"/>
        </w:rPr>
        <w:t>为防止感应雷沿电源线进入机房损坏机房内的重要设备，在电源配电柜电源进线处安装浪涌防雷器。或者在设备电源处使用带有防雷功能的插座板。</w:t>
      </w:r>
    </w:p>
    <w:p>
      <w:pPr>
        <w:pStyle w:val="5"/>
        <w:numPr>
          <w:ilvl w:val="2"/>
          <w:numId w:val="72"/>
        </w:numPr>
      </w:pPr>
      <w:bookmarkStart w:id="39" w:name="_Toc8438"/>
      <w:r>
        <w:rPr>
          <w:rFonts w:hint="eastAsia"/>
        </w:rPr>
        <w:t>消防系统</w:t>
      </w:r>
      <w:bookmarkEnd w:id="39"/>
    </w:p>
    <w:p>
      <w:pPr>
        <w:ind w:firstLine="480" w:firstLineChars="200"/>
        <w:rPr>
          <w:rFonts w:hAnsi="宋体" w:cs="Arial"/>
        </w:rPr>
      </w:pPr>
      <w:r>
        <w:rPr>
          <w:rFonts w:hint="eastAsia" w:hAnsi="宋体" w:cs="Arial"/>
        </w:rPr>
        <w:t>本数据中心共建设烟感700个，温感516个，喷淋头345个，具体点位如下表：</w:t>
      </w:r>
    </w:p>
    <w:p>
      <w:pPr>
        <w:pStyle w:val="11"/>
        <w:numPr>
          <w:ilvl w:val="8"/>
          <w:numId w:val="72"/>
        </w:numPr>
      </w:pPr>
      <w:bookmarkStart w:id="40" w:name="_Toc165045253"/>
      <w:r>
        <w:rPr>
          <w:rFonts w:hint="eastAsia"/>
        </w:rPr>
        <w:t>消防系统设备点位表</w:t>
      </w:r>
      <w:bookmarkEnd w:id="40"/>
    </w:p>
    <w:tbl>
      <w:tblPr>
        <w:tblStyle w:val="75"/>
        <w:tblW w:w="9049" w:type="dxa"/>
        <w:tblInd w:w="0" w:type="dxa"/>
        <w:tblLayout w:type="autofit"/>
        <w:tblCellMar>
          <w:top w:w="0" w:type="dxa"/>
          <w:left w:w="108" w:type="dxa"/>
          <w:bottom w:w="0" w:type="dxa"/>
          <w:right w:w="108" w:type="dxa"/>
        </w:tblCellMar>
      </w:tblPr>
      <w:tblGrid>
        <w:gridCol w:w="940"/>
        <w:gridCol w:w="2014"/>
        <w:gridCol w:w="1653"/>
        <w:gridCol w:w="1560"/>
        <w:gridCol w:w="1559"/>
        <w:gridCol w:w="1323"/>
      </w:tblGrid>
      <w:tr>
        <w:tblPrEx>
          <w:tblCellMar>
            <w:top w:w="0" w:type="dxa"/>
            <w:left w:w="108" w:type="dxa"/>
            <w:bottom w:w="0" w:type="dxa"/>
            <w:right w:w="108" w:type="dxa"/>
          </w:tblCellMar>
        </w:tblPrEx>
        <w:trPr>
          <w:tblHeader/>
        </w:trPr>
        <w:tc>
          <w:tcPr>
            <w:tcW w:w="940" w:type="dxa"/>
            <w:tcBorders>
              <w:top w:val="double" w:color="auto" w:sz="6" w:space="0"/>
              <w:left w:val="double" w:color="auto" w:sz="6" w:space="0"/>
              <w:bottom w:val="single" w:color="auto" w:sz="4" w:space="0"/>
              <w:right w:val="single" w:color="auto" w:sz="4"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014" w:type="dxa"/>
            <w:tcBorders>
              <w:top w:val="double" w:color="auto" w:sz="6" w:space="0"/>
              <w:left w:val="nil"/>
              <w:bottom w:val="single" w:color="auto" w:sz="4" w:space="0"/>
              <w:right w:val="single" w:color="auto" w:sz="4" w:space="0"/>
            </w:tcBorders>
            <w:shd w:val="clear" w:color="000000" w:fill="D9D9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位置</w:t>
            </w:r>
          </w:p>
        </w:tc>
        <w:tc>
          <w:tcPr>
            <w:tcW w:w="1653" w:type="dxa"/>
            <w:tcBorders>
              <w:top w:val="double" w:color="auto" w:sz="6" w:space="0"/>
              <w:left w:val="nil"/>
              <w:bottom w:val="single" w:color="auto" w:sz="4" w:space="0"/>
              <w:right w:val="single" w:color="auto" w:sz="4"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烟感</w:t>
            </w:r>
          </w:p>
        </w:tc>
        <w:tc>
          <w:tcPr>
            <w:tcW w:w="1560" w:type="dxa"/>
            <w:tcBorders>
              <w:top w:val="double" w:color="auto" w:sz="6" w:space="0"/>
              <w:left w:val="nil"/>
              <w:bottom w:val="single" w:color="auto" w:sz="4" w:space="0"/>
              <w:right w:val="single" w:color="auto" w:sz="4"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温感</w:t>
            </w:r>
          </w:p>
        </w:tc>
        <w:tc>
          <w:tcPr>
            <w:tcW w:w="1559" w:type="dxa"/>
            <w:tcBorders>
              <w:top w:val="double" w:color="auto" w:sz="6" w:space="0"/>
              <w:left w:val="nil"/>
              <w:bottom w:val="single" w:color="auto" w:sz="4" w:space="0"/>
              <w:right w:val="single" w:color="auto" w:sz="4"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喷淋头</w:t>
            </w:r>
          </w:p>
        </w:tc>
        <w:tc>
          <w:tcPr>
            <w:tcW w:w="1323" w:type="dxa"/>
            <w:tcBorders>
              <w:top w:val="double" w:color="auto" w:sz="6" w:space="0"/>
              <w:left w:val="nil"/>
              <w:bottom w:val="single" w:color="auto" w:sz="4" w:space="0"/>
              <w:right w:val="double" w:color="auto" w:sz="6"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2F2F2"/>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一</w:t>
            </w:r>
          </w:p>
        </w:tc>
        <w:tc>
          <w:tcPr>
            <w:tcW w:w="2014" w:type="dxa"/>
            <w:tcBorders>
              <w:top w:val="nil"/>
              <w:left w:val="nil"/>
              <w:bottom w:val="single" w:color="auto" w:sz="4" w:space="0"/>
              <w:right w:val="single" w:color="auto" w:sz="4" w:space="0"/>
            </w:tcBorders>
            <w:shd w:val="clear" w:color="000000" w:fill="F2F2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一层</w:t>
            </w:r>
          </w:p>
        </w:tc>
        <w:tc>
          <w:tcPr>
            <w:tcW w:w="1653"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209</w:t>
            </w:r>
          </w:p>
        </w:tc>
        <w:tc>
          <w:tcPr>
            <w:tcW w:w="1560"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114</w:t>
            </w:r>
          </w:p>
        </w:tc>
        <w:tc>
          <w:tcPr>
            <w:tcW w:w="1559"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115</w:t>
            </w:r>
          </w:p>
        </w:tc>
        <w:tc>
          <w:tcPr>
            <w:tcW w:w="1323" w:type="dxa"/>
            <w:tcBorders>
              <w:top w:val="nil"/>
              <w:left w:val="nil"/>
              <w:bottom w:val="single" w:color="auto" w:sz="4" w:space="0"/>
              <w:right w:val="double" w:color="auto" w:sz="6"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门厅</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38</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安防控制室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消防控制室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40</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35</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湿式报警阀室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空调机房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2014"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二层</w:t>
            </w:r>
          </w:p>
        </w:tc>
        <w:tc>
          <w:tcPr>
            <w:tcW w:w="1653"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259</w:t>
            </w:r>
          </w:p>
        </w:tc>
        <w:tc>
          <w:tcPr>
            <w:tcW w:w="1560"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221</w:t>
            </w:r>
          </w:p>
        </w:tc>
        <w:tc>
          <w:tcPr>
            <w:tcW w:w="1559"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70</w:t>
            </w:r>
          </w:p>
        </w:tc>
        <w:tc>
          <w:tcPr>
            <w:tcW w:w="1323" w:type="dxa"/>
            <w:tcBorders>
              <w:top w:val="nil"/>
              <w:left w:val="nil"/>
              <w:bottom w:val="single" w:color="auto" w:sz="4" w:space="0"/>
              <w:right w:val="double" w:color="auto" w:sz="6"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75</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69</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69</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维修间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空调机房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30</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2014"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三层</w:t>
            </w:r>
          </w:p>
        </w:tc>
        <w:tc>
          <w:tcPr>
            <w:tcW w:w="1653"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171</w:t>
            </w:r>
          </w:p>
        </w:tc>
        <w:tc>
          <w:tcPr>
            <w:tcW w:w="1560"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153</w:t>
            </w:r>
          </w:p>
        </w:tc>
        <w:tc>
          <w:tcPr>
            <w:tcW w:w="1559"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29</w:t>
            </w:r>
          </w:p>
        </w:tc>
        <w:tc>
          <w:tcPr>
            <w:tcW w:w="1323" w:type="dxa"/>
            <w:tcBorders>
              <w:top w:val="nil"/>
              <w:left w:val="nil"/>
              <w:bottom w:val="single" w:color="auto" w:sz="4" w:space="0"/>
              <w:right w:val="double" w:color="auto" w:sz="6"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49</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消防气瓶间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维修间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备件间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90" w:hRule="atLeast"/>
        </w:trPr>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空调机房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2014"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四层</w:t>
            </w:r>
          </w:p>
        </w:tc>
        <w:tc>
          <w:tcPr>
            <w:tcW w:w="1653"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34</w:t>
            </w:r>
          </w:p>
        </w:tc>
        <w:tc>
          <w:tcPr>
            <w:tcW w:w="1560"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28</w:t>
            </w:r>
          </w:p>
        </w:tc>
        <w:tc>
          <w:tcPr>
            <w:tcW w:w="1559"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45</w:t>
            </w:r>
          </w:p>
        </w:tc>
        <w:tc>
          <w:tcPr>
            <w:tcW w:w="1323" w:type="dxa"/>
            <w:tcBorders>
              <w:top w:val="nil"/>
              <w:left w:val="nil"/>
              <w:bottom w:val="single" w:color="auto" w:sz="4" w:space="0"/>
              <w:right w:val="double" w:color="auto" w:sz="6" w:space="0"/>
            </w:tcBorders>
            <w:shd w:val="clear" w:color="000000" w:fill="F2F2F2"/>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设备间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工作用房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会议室一</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会议室二</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会见室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排烟机房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w:t>
            </w:r>
          </w:p>
        </w:tc>
        <w:tc>
          <w:tcPr>
            <w:tcW w:w="2014"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五层</w:t>
            </w:r>
          </w:p>
        </w:tc>
        <w:tc>
          <w:tcPr>
            <w:tcW w:w="1653"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27</w:t>
            </w:r>
          </w:p>
        </w:tc>
        <w:tc>
          <w:tcPr>
            <w:tcW w:w="1560"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1559" w:type="dxa"/>
            <w:tcBorders>
              <w:top w:val="nil"/>
              <w:left w:val="nil"/>
              <w:bottom w:val="single" w:color="auto" w:sz="4" w:space="0"/>
              <w:right w:val="single" w:color="auto" w:sz="4"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86</w:t>
            </w:r>
          </w:p>
        </w:tc>
        <w:tc>
          <w:tcPr>
            <w:tcW w:w="1323" w:type="dxa"/>
            <w:tcBorders>
              <w:top w:val="nil"/>
              <w:left w:val="nil"/>
              <w:bottom w:val="single" w:color="auto" w:sz="4" w:space="0"/>
              <w:right w:val="double" w:color="auto" w:sz="6" w:space="0"/>
            </w:tcBorders>
            <w:shd w:val="clear" w:color="000000" w:fill="F2F2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值班室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办公室</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开放办公区</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50</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低压泵房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电梯机房</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弱电间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强电间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014"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left"/>
              <w:rPr>
                <w:rFonts w:hAnsi="宋体" w:cs="宋体"/>
                <w:kern w:val="0"/>
                <w:sz w:val="21"/>
                <w:szCs w:val="21"/>
              </w:rPr>
            </w:pPr>
            <w:r>
              <w:rPr>
                <w:rFonts w:hint="eastAsia" w:hAnsi="宋体" w:cs="宋体"/>
                <w:kern w:val="0"/>
                <w:sz w:val="21"/>
                <w:szCs w:val="21"/>
              </w:rPr>
              <w:t>卫生间</w:t>
            </w:r>
          </w:p>
        </w:tc>
        <w:tc>
          <w:tcPr>
            <w:tcW w:w="1653"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60"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559" w:type="dxa"/>
            <w:tcBorders>
              <w:top w:val="nil"/>
              <w:left w:val="nil"/>
              <w:bottom w:val="single" w:color="auto" w:sz="4" w:space="0"/>
              <w:right w:val="single" w:color="auto" w:sz="4"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323" w:type="dxa"/>
            <w:tcBorders>
              <w:top w:val="nil"/>
              <w:left w:val="nil"/>
              <w:bottom w:val="single" w:color="auto" w:sz="4" w:space="0"/>
              <w:right w:val="double" w:color="auto" w:sz="6" w:space="0"/>
            </w:tcBorders>
            <w:shd w:val="clear" w:color="000000" w:fill="FFFFFF"/>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940" w:type="dxa"/>
            <w:tcBorders>
              <w:top w:val="nil"/>
              <w:left w:val="double" w:color="auto" w:sz="6" w:space="0"/>
              <w:bottom w:val="double" w:color="auto" w:sz="6" w:space="0"/>
              <w:right w:val="single" w:color="auto" w:sz="4"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六</w:t>
            </w:r>
          </w:p>
        </w:tc>
        <w:tc>
          <w:tcPr>
            <w:tcW w:w="2014" w:type="dxa"/>
            <w:tcBorders>
              <w:top w:val="nil"/>
              <w:left w:val="nil"/>
              <w:bottom w:val="double" w:color="auto" w:sz="6" w:space="0"/>
              <w:right w:val="single" w:color="auto" w:sz="4"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1653" w:type="dxa"/>
            <w:tcBorders>
              <w:top w:val="nil"/>
              <w:left w:val="nil"/>
              <w:bottom w:val="double" w:color="auto" w:sz="6" w:space="0"/>
              <w:right w:val="single" w:color="auto" w:sz="4"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700</w:t>
            </w:r>
          </w:p>
        </w:tc>
        <w:tc>
          <w:tcPr>
            <w:tcW w:w="1560" w:type="dxa"/>
            <w:tcBorders>
              <w:top w:val="nil"/>
              <w:left w:val="nil"/>
              <w:bottom w:val="double" w:color="auto" w:sz="6" w:space="0"/>
              <w:right w:val="single" w:color="auto" w:sz="4"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516</w:t>
            </w:r>
          </w:p>
        </w:tc>
        <w:tc>
          <w:tcPr>
            <w:tcW w:w="1559" w:type="dxa"/>
            <w:tcBorders>
              <w:top w:val="nil"/>
              <w:left w:val="nil"/>
              <w:bottom w:val="double" w:color="auto" w:sz="6" w:space="0"/>
              <w:right w:val="single" w:color="auto" w:sz="4"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345</w:t>
            </w:r>
          </w:p>
        </w:tc>
        <w:tc>
          <w:tcPr>
            <w:tcW w:w="1323" w:type="dxa"/>
            <w:tcBorders>
              <w:top w:val="nil"/>
              <w:left w:val="nil"/>
              <w:bottom w:val="double" w:color="auto" w:sz="6" w:space="0"/>
              <w:right w:val="double" w:color="auto" w:sz="6" w:space="0"/>
            </w:tcBorders>
            <w:shd w:val="clear" w:color="000000" w:fill="FFFFFF"/>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bl>
    <w:p>
      <w:pPr>
        <w:pStyle w:val="5"/>
        <w:numPr>
          <w:ilvl w:val="2"/>
          <w:numId w:val="72"/>
        </w:numPr>
      </w:pPr>
      <w:bookmarkStart w:id="41" w:name="_Toc207"/>
      <w:r>
        <w:rPr>
          <w:rFonts w:hint="eastAsia"/>
        </w:rPr>
        <w:t>机房KVM切换系统</w:t>
      </w:r>
      <w:bookmarkEnd w:id="41"/>
    </w:p>
    <w:p>
      <w:pPr>
        <w:ind w:firstLine="480" w:firstLineChars="200"/>
        <w:rPr>
          <w:rFonts w:hAnsi="宋体" w:cs="Arial"/>
        </w:rPr>
      </w:pPr>
      <w:r>
        <w:rPr>
          <w:rFonts w:hint="eastAsia" w:hAnsi="宋体" w:cs="Arial"/>
        </w:rPr>
        <w:t>数据中心KVM系统包括三，四层共2个机房模块。</w:t>
      </w:r>
    </w:p>
    <w:p>
      <w:pPr>
        <w:ind w:firstLine="480" w:firstLineChars="200"/>
        <w:rPr>
          <w:rFonts w:hAnsi="宋体" w:cs="Arial"/>
        </w:rPr>
      </w:pPr>
      <w:r>
        <w:rPr>
          <w:rFonts w:hint="eastAsia" w:hAnsi="宋体" w:cs="Arial"/>
        </w:rPr>
        <w:t>（1）三层：主机房D有8个微模块，其中包含4个22组服务器机柜微模块，4个24组服务器机柜微模块；主机房E有7个微模块，其中包含3个26组服务器机柜微模块，3个28组服务器机柜微模块，1个18组服务器机柜微模块。</w:t>
      </w:r>
    </w:p>
    <w:p>
      <w:pPr>
        <w:ind w:firstLine="480" w:firstLineChars="200"/>
        <w:rPr>
          <w:rFonts w:hAnsi="宋体" w:cs="Arial"/>
        </w:rPr>
      </w:pPr>
      <w:r>
        <w:rPr>
          <w:rFonts w:hint="eastAsia" w:hAnsi="宋体" w:cs="Arial"/>
        </w:rPr>
        <w:t>（2）四层：主机房F有1个微模块，包含2个24组服务器机柜微模块。KVM带外运维管理系统在数据中心内采用独立组网，按微模块机柜平均每台服务器机柜10台服务器、1台网络交换机估算设备数量点。KVM系统用于管理服务器和网络设备。</w:t>
      </w:r>
    </w:p>
    <w:p>
      <w:pPr>
        <w:pStyle w:val="11"/>
        <w:numPr>
          <w:ilvl w:val="8"/>
          <w:numId w:val="72"/>
        </w:numPr>
      </w:pPr>
      <w:bookmarkStart w:id="42" w:name="_Toc165045254"/>
      <w:r>
        <w:rPr>
          <w:rFonts w:hint="eastAsia"/>
        </w:rPr>
        <w:t>机房KVM及串口控制台数量表</w:t>
      </w:r>
      <w:bookmarkEnd w:id="42"/>
    </w:p>
    <w:tbl>
      <w:tblPr>
        <w:tblStyle w:val="75"/>
        <w:tblW w:w="8058" w:type="dxa"/>
        <w:jc w:val="center"/>
        <w:tblLayout w:type="autofit"/>
        <w:tblCellMar>
          <w:top w:w="0" w:type="dxa"/>
          <w:left w:w="108" w:type="dxa"/>
          <w:bottom w:w="0" w:type="dxa"/>
          <w:right w:w="108" w:type="dxa"/>
        </w:tblCellMar>
      </w:tblPr>
      <w:tblGrid>
        <w:gridCol w:w="828"/>
        <w:gridCol w:w="2126"/>
        <w:gridCol w:w="2694"/>
        <w:gridCol w:w="2410"/>
      </w:tblGrid>
      <w:tr>
        <w:tblPrEx>
          <w:tblCellMar>
            <w:top w:w="0" w:type="dxa"/>
            <w:left w:w="108" w:type="dxa"/>
            <w:bottom w:w="0" w:type="dxa"/>
            <w:right w:w="108" w:type="dxa"/>
          </w:tblCellMar>
        </w:tblPrEx>
        <w:trPr>
          <w:jc w:val="center"/>
        </w:trPr>
        <w:tc>
          <w:tcPr>
            <w:tcW w:w="828" w:type="dxa"/>
            <w:tcBorders>
              <w:top w:val="double" w:color="auto" w:sz="6" w:space="0"/>
              <w:left w:val="double" w:color="auto" w:sz="6" w:space="0"/>
              <w:bottom w:val="single" w:color="auto" w:sz="4" w:space="0"/>
              <w:right w:val="single" w:color="auto" w:sz="4" w:space="0"/>
            </w:tcBorders>
            <w:shd w:val="clear" w:color="000000" w:fill="D9D9D9"/>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126" w:type="dxa"/>
            <w:tcBorders>
              <w:top w:val="double" w:color="auto" w:sz="6" w:space="0"/>
              <w:left w:val="nil"/>
              <w:bottom w:val="single" w:color="auto" w:sz="4" w:space="0"/>
              <w:right w:val="single" w:color="auto" w:sz="4" w:space="0"/>
            </w:tcBorders>
            <w:shd w:val="clear" w:color="000000" w:fill="D9D9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名称</w:t>
            </w:r>
          </w:p>
        </w:tc>
        <w:tc>
          <w:tcPr>
            <w:tcW w:w="2694" w:type="dxa"/>
            <w:tcBorders>
              <w:top w:val="double" w:color="auto" w:sz="6" w:space="0"/>
              <w:left w:val="nil"/>
              <w:bottom w:val="single" w:color="auto" w:sz="4" w:space="0"/>
              <w:right w:val="single" w:color="auto" w:sz="4" w:space="0"/>
            </w:tcBorders>
            <w:shd w:val="clear" w:color="000000" w:fill="D9D9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KVM数量</w:t>
            </w:r>
          </w:p>
        </w:tc>
        <w:tc>
          <w:tcPr>
            <w:tcW w:w="2410" w:type="dxa"/>
            <w:tcBorders>
              <w:top w:val="double" w:color="auto" w:sz="6" w:space="0"/>
              <w:left w:val="nil"/>
              <w:bottom w:val="single" w:color="auto" w:sz="4" w:space="0"/>
              <w:right w:val="double" w:color="auto" w:sz="6" w:space="0"/>
            </w:tcBorders>
            <w:shd w:val="clear" w:color="000000" w:fill="D9D9D9"/>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串口控制台数量</w:t>
            </w:r>
          </w:p>
        </w:tc>
      </w:tr>
      <w:tr>
        <w:tblPrEx>
          <w:tblCellMar>
            <w:top w:w="0" w:type="dxa"/>
            <w:left w:w="108" w:type="dxa"/>
            <w:bottom w:w="0" w:type="dxa"/>
            <w:right w:w="108" w:type="dxa"/>
          </w:tblCellMar>
        </w:tblPrEx>
        <w:trPr>
          <w:jc w:val="center"/>
        </w:trPr>
        <w:tc>
          <w:tcPr>
            <w:tcW w:w="828"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12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主机房D</w:t>
            </w:r>
          </w:p>
        </w:tc>
        <w:tc>
          <w:tcPr>
            <w:tcW w:w="269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40</w:t>
            </w:r>
          </w:p>
        </w:tc>
        <w:tc>
          <w:tcPr>
            <w:tcW w:w="24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r>
      <w:tr>
        <w:tblPrEx>
          <w:tblCellMar>
            <w:top w:w="0" w:type="dxa"/>
            <w:left w:w="108" w:type="dxa"/>
            <w:bottom w:w="0" w:type="dxa"/>
            <w:right w:w="108" w:type="dxa"/>
          </w:tblCellMar>
        </w:tblPrEx>
        <w:trPr>
          <w:jc w:val="center"/>
        </w:trPr>
        <w:tc>
          <w:tcPr>
            <w:tcW w:w="828"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12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主机房E</w:t>
            </w:r>
          </w:p>
        </w:tc>
        <w:tc>
          <w:tcPr>
            <w:tcW w:w="269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43</w:t>
            </w:r>
          </w:p>
        </w:tc>
        <w:tc>
          <w:tcPr>
            <w:tcW w:w="24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r>
      <w:tr>
        <w:tblPrEx>
          <w:tblCellMar>
            <w:top w:w="0" w:type="dxa"/>
            <w:left w:w="108" w:type="dxa"/>
            <w:bottom w:w="0" w:type="dxa"/>
            <w:right w:w="108" w:type="dxa"/>
          </w:tblCellMar>
        </w:tblPrEx>
        <w:trPr>
          <w:jc w:val="center"/>
        </w:trPr>
        <w:tc>
          <w:tcPr>
            <w:tcW w:w="828"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126"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主机房F</w:t>
            </w:r>
          </w:p>
        </w:tc>
        <w:tc>
          <w:tcPr>
            <w:tcW w:w="2694"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rPr>
          <w:jc w:val="center"/>
        </w:trPr>
        <w:tc>
          <w:tcPr>
            <w:tcW w:w="828"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126"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2694"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88</w:t>
            </w:r>
          </w:p>
        </w:tc>
        <w:tc>
          <w:tcPr>
            <w:tcW w:w="2410" w:type="dxa"/>
            <w:tcBorders>
              <w:top w:val="nil"/>
              <w:left w:val="nil"/>
              <w:bottom w:val="double" w:color="auto" w:sz="6"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16</w:t>
            </w:r>
          </w:p>
        </w:tc>
      </w:tr>
    </w:tbl>
    <w:p>
      <w:pPr>
        <w:pStyle w:val="5"/>
        <w:numPr>
          <w:ilvl w:val="2"/>
          <w:numId w:val="72"/>
        </w:numPr>
      </w:pPr>
      <w:bookmarkStart w:id="43" w:name="_Toc9241"/>
      <w:r>
        <w:rPr>
          <w:rFonts w:hint="eastAsia"/>
        </w:rPr>
        <w:t>数据中心基础设施管理系统</w:t>
      </w:r>
      <w:bookmarkEnd w:id="43"/>
    </w:p>
    <w:p>
      <w:pPr>
        <w:ind w:firstLine="480" w:firstLineChars="200"/>
        <w:rPr>
          <w:rFonts w:hAnsi="宋体" w:cs="Arial"/>
        </w:rPr>
      </w:pPr>
      <w:r>
        <w:rPr>
          <w:rFonts w:hint="eastAsia" w:hAnsi="宋体" w:cs="Arial"/>
        </w:rPr>
        <w:t>云计算中心（政务云）已建设一个DCIM系统对数据中心进行统一的管理；提供对基础设施的监控，获取准确的监控信息，掌握数据中心的健康状况；提供对资产的全生命周期管理，自动检测、精确定位、实时盘点资产；提供对容量的管理，容量检测，容量使用趋势分析，容量使用规划；提供对能耗的管理，精确监测每个机房、每列机柜和每台机柜的能耗，通过能效分析做节能控制；提供流程的管理，通过把变更的活动用流程管控来降低变更带给业务的影响；提供报表的管理，包含各种报表模板，支持用户自定义报表；彻底改变目前数据中心管理的落后现状，真正做到数据中心的资产、容量、能耗说得清管得住，提高机房的可用性。</w:t>
      </w:r>
    </w:p>
    <w:p>
      <w:pPr>
        <w:ind w:firstLine="480" w:firstLineChars="200"/>
        <w:rPr>
          <w:rFonts w:hAnsi="宋体" w:cs="Arial"/>
        </w:rPr>
      </w:pPr>
      <w:r>
        <w:rPr>
          <w:rFonts w:hint="eastAsia" w:hAnsi="宋体" w:cs="Arial"/>
        </w:rPr>
        <w:t>现有DCIM系统图如下：</w:t>
      </w:r>
    </w:p>
    <w:p>
      <w:pPr>
        <w:ind w:firstLine="480" w:firstLineChars="200"/>
        <w:rPr>
          <w:rFonts w:hAnsi="宋体" w:cs="Arial"/>
        </w:rPr>
        <w:sectPr>
          <w:pgSz w:w="11906" w:h="16838"/>
          <w:pgMar w:top="1418" w:right="1134" w:bottom="1418" w:left="1701" w:header="851" w:footer="992" w:gutter="0"/>
          <w:cols w:space="425" w:num="1"/>
          <w:docGrid w:type="lines" w:linePitch="436" w:charSpace="195"/>
        </w:sectPr>
      </w:pPr>
    </w:p>
    <w:p>
      <w:pPr>
        <w:ind w:firstLine="480" w:firstLineChars="200"/>
        <w:rPr>
          <w:rFonts w:hAnsi="宋体" w:cs="Arial"/>
        </w:rPr>
      </w:pPr>
      <w:r>
        <w:rPr>
          <w:rFonts w:hint="eastAsia"/>
        </w:rPr>
        <w:drawing>
          <wp:inline distT="0" distB="0" distL="0" distR="0">
            <wp:extent cx="8629650" cy="4973320"/>
            <wp:effectExtent l="0" t="0" r="0" b="0"/>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8635026" cy="4976428"/>
                    </a:xfrm>
                    <a:prstGeom prst="rect">
                      <a:avLst/>
                    </a:prstGeom>
                    <a:noFill/>
                    <a:ln>
                      <a:noFill/>
                    </a:ln>
                  </pic:spPr>
                </pic:pic>
              </a:graphicData>
            </a:graphic>
          </wp:inline>
        </w:drawing>
      </w:r>
    </w:p>
    <w:p>
      <w:pPr>
        <w:jc w:val="center"/>
        <w:rPr>
          <w:b/>
          <w:bCs/>
        </w:rPr>
      </w:pPr>
      <w:r>
        <w:rPr>
          <w:rFonts w:hint="eastAsia"/>
          <w:b/>
          <w:bCs/>
        </w:rPr>
        <w:t>云计算中心已建DCIM现状</w:t>
      </w:r>
    </w:p>
    <w:p>
      <w:pPr>
        <w:ind w:firstLine="480" w:firstLineChars="200"/>
        <w:rPr>
          <w:rFonts w:hAnsi="宋体" w:cs="Arial"/>
        </w:rPr>
      </w:pPr>
    </w:p>
    <w:p>
      <w:pPr>
        <w:ind w:firstLine="480" w:firstLineChars="200"/>
        <w:rPr>
          <w:rFonts w:hAnsi="宋体" w:cs="Arial"/>
        </w:rPr>
        <w:sectPr>
          <w:headerReference r:id="rId9" w:type="default"/>
          <w:footerReference r:id="rId10" w:type="default"/>
          <w:pgSz w:w="16838" w:h="11906" w:orient="landscape"/>
          <w:pgMar w:top="1134" w:right="1418" w:bottom="1701" w:left="1418" w:header="680" w:footer="1077" w:gutter="0"/>
          <w:cols w:space="425" w:num="1"/>
          <w:docGrid w:type="lines" w:linePitch="436" w:charSpace="195"/>
        </w:sectPr>
      </w:pPr>
    </w:p>
    <w:p>
      <w:pPr>
        <w:pStyle w:val="6"/>
        <w:numPr>
          <w:ilvl w:val="3"/>
          <w:numId w:val="72"/>
        </w:numPr>
        <w:rPr>
          <w:color w:val="auto"/>
        </w:rPr>
      </w:pPr>
      <w:r>
        <w:rPr>
          <w:rFonts w:hint="eastAsia"/>
          <w:color w:val="auto"/>
        </w:rPr>
        <w:t>机房动环监控系统</w:t>
      </w:r>
    </w:p>
    <w:p>
      <w:pPr>
        <w:ind w:firstLine="480" w:firstLineChars="200"/>
        <w:rPr>
          <w:rFonts w:hAnsi="宋体" w:cs="Arial"/>
        </w:rPr>
      </w:pPr>
      <w:r>
        <w:rPr>
          <w:rFonts w:hint="eastAsia" w:hAnsi="宋体" w:cs="Arial"/>
        </w:rPr>
        <w:t>数据中心机房动环系统主要包含电能模块14个、电量仪1</w:t>
      </w:r>
      <w:r>
        <w:rPr>
          <w:rFonts w:hAnsi="宋体" w:cs="Arial"/>
        </w:rPr>
        <w:t>54</w:t>
      </w:r>
      <w:r>
        <w:rPr>
          <w:rFonts w:hint="eastAsia" w:hAnsi="宋体" w:cs="Arial"/>
        </w:rPr>
        <w:t>个、UPS接口43个、蓄电池检测仪40个、新风机接口5个、空调接口221个、氢气探头19个、温湿度219个、漏水控制器40个、粉尘传感器20个、消防接口1个。具体如下表：</w:t>
      </w:r>
    </w:p>
    <w:p>
      <w:pPr>
        <w:pStyle w:val="11"/>
        <w:numPr>
          <w:ilvl w:val="8"/>
          <w:numId w:val="72"/>
        </w:numPr>
      </w:pPr>
      <w:bookmarkStart w:id="44" w:name="_Toc165045255"/>
      <w:r>
        <w:rPr>
          <w:rFonts w:hint="eastAsia"/>
        </w:rPr>
        <w:t>机房动环监控系统汇总表</w:t>
      </w:r>
      <w:bookmarkEnd w:id="44"/>
    </w:p>
    <w:tbl>
      <w:tblPr>
        <w:tblStyle w:val="75"/>
        <w:tblW w:w="9140" w:type="dxa"/>
        <w:tblInd w:w="0" w:type="dxa"/>
        <w:tblLayout w:type="autofit"/>
        <w:tblCellMar>
          <w:top w:w="0" w:type="dxa"/>
          <w:left w:w="108" w:type="dxa"/>
          <w:bottom w:w="0" w:type="dxa"/>
          <w:right w:w="108" w:type="dxa"/>
        </w:tblCellMar>
      </w:tblPr>
      <w:tblGrid>
        <w:gridCol w:w="550"/>
        <w:gridCol w:w="1890"/>
        <w:gridCol w:w="495"/>
        <w:gridCol w:w="534"/>
        <w:gridCol w:w="534"/>
        <w:gridCol w:w="663"/>
        <w:gridCol w:w="663"/>
        <w:gridCol w:w="534"/>
        <w:gridCol w:w="495"/>
        <w:gridCol w:w="534"/>
        <w:gridCol w:w="663"/>
        <w:gridCol w:w="663"/>
        <w:gridCol w:w="495"/>
        <w:gridCol w:w="427"/>
      </w:tblGrid>
      <w:tr>
        <w:tblPrEx>
          <w:tblCellMar>
            <w:top w:w="0" w:type="dxa"/>
            <w:left w:w="108" w:type="dxa"/>
            <w:bottom w:w="0" w:type="dxa"/>
            <w:right w:w="108" w:type="dxa"/>
          </w:tblCellMar>
        </w:tblPrEx>
        <w:trPr>
          <w:tblHeader/>
        </w:trPr>
        <w:tc>
          <w:tcPr>
            <w:tcW w:w="56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9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位置</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电能模块</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电量仪</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UPS接口</w:t>
            </w:r>
          </w:p>
        </w:tc>
        <w:tc>
          <w:tcPr>
            <w:tcW w:w="6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蓄电池检测仪</w:t>
            </w:r>
          </w:p>
        </w:tc>
        <w:tc>
          <w:tcPr>
            <w:tcW w:w="6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新风机接口</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空调接口</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氢气探头</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温湿度</w:t>
            </w:r>
          </w:p>
        </w:tc>
        <w:tc>
          <w:tcPr>
            <w:tcW w:w="6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漏水控制器</w:t>
            </w:r>
          </w:p>
        </w:tc>
        <w:tc>
          <w:tcPr>
            <w:tcW w:w="6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粉尘传感器</w:t>
            </w:r>
          </w:p>
        </w:tc>
        <w:tc>
          <w:tcPr>
            <w:tcW w:w="5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消防接口</w:t>
            </w:r>
          </w:p>
        </w:tc>
        <w:tc>
          <w:tcPr>
            <w:tcW w:w="40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w:t>
            </w:r>
          </w:p>
        </w:tc>
        <w:tc>
          <w:tcPr>
            <w:tcW w:w="1960" w:type="dxa"/>
            <w:tcBorders>
              <w:top w:val="nil"/>
              <w:left w:val="nil"/>
              <w:bottom w:val="single" w:color="auto" w:sz="4" w:space="0"/>
              <w:right w:val="single" w:color="auto" w:sz="4" w:space="0"/>
            </w:tcBorders>
            <w:shd w:val="clear" w:color="000000" w:fill="F2F2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1F</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17</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17</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41</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7</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w:t>
            </w:r>
          </w:p>
        </w:tc>
        <w:tc>
          <w:tcPr>
            <w:tcW w:w="400" w:type="dxa"/>
            <w:tcBorders>
              <w:top w:val="nil"/>
              <w:left w:val="nil"/>
              <w:bottom w:val="single" w:color="auto" w:sz="4" w:space="0"/>
              <w:right w:val="double" w:color="auto" w:sz="6"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主机房A</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UPS变配电间一</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1#变配电室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2#变配电室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电池室一</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电池室二</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运营商接入间一</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运营商接入间二</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运营商接入间三</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消防控制室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1960" w:type="dxa"/>
            <w:tcBorders>
              <w:top w:val="nil"/>
              <w:left w:val="nil"/>
              <w:bottom w:val="single" w:color="auto" w:sz="4" w:space="0"/>
              <w:right w:val="single" w:color="auto" w:sz="4" w:space="0"/>
            </w:tcBorders>
            <w:shd w:val="clear" w:color="000000" w:fill="F2F2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2F</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84</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18</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80</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80</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25</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400" w:type="dxa"/>
            <w:tcBorders>
              <w:top w:val="nil"/>
              <w:left w:val="nil"/>
              <w:bottom w:val="single" w:color="auto" w:sz="4" w:space="0"/>
              <w:right w:val="double" w:color="auto" w:sz="6"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主机房B</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主机房C</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4#变配电室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UPS变配电间二</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UPS变配电间三</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电池室三</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电池室四</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非标机房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等保四级机房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1960" w:type="dxa"/>
            <w:tcBorders>
              <w:top w:val="nil"/>
              <w:left w:val="nil"/>
              <w:bottom w:val="single" w:color="auto" w:sz="4" w:space="0"/>
              <w:right w:val="single" w:color="auto" w:sz="4" w:space="0"/>
            </w:tcBorders>
            <w:shd w:val="clear" w:color="000000" w:fill="F2F2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3F</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49</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30</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14</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112</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7</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82</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6</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8</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400" w:type="dxa"/>
            <w:tcBorders>
              <w:top w:val="nil"/>
              <w:left w:val="nil"/>
              <w:bottom w:val="single" w:color="auto" w:sz="4" w:space="0"/>
              <w:right w:val="double" w:color="auto" w:sz="6"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主机房D</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48</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39</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主机房E</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54</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30</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核心网络机房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3#变配电室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5#变配电室</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新风兼事故排风机房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空调风柜房</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1960" w:type="dxa"/>
            <w:tcBorders>
              <w:top w:val="nil"/>
              <w:left w:val="nil"/>
              <w:bottom w:val="single" w:color="auto" w:sz="4" w:space="0"/>
              <w:right w:val="single" w:color="auto" w:sz="4" w:space="0"/>
            </w:tcBorders>
            <w:shd w:val="clear" w:color="000000" w:fill="F2F2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4F</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12</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16</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p>
        </w:tc>
        <w:tc>
          <w:tcPr>
            <w:tcW w:w="68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w:t>
            </w:r>
          </w:p>
        </w:tc>
        <w:tc>
          <w:tcPr>
            <w:tcW w:w="500" w:type="dxa"/>
            <w:tcBorders>
              <w:top w:val="nil"/>
              <w:left w:val="nil"/>
              <w:bottom w:val="single" w:color="auto" w:sz="4" w:space="0"/>
              <w:right w:val="single" w:color="auto" w:sz="4"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0</w:t>
            </w:r>
          </w:p>
        </w:tc>
        <w:tc>
          <w:tcPr>
            <w:tcW w:w="400" w:type="dxa"/>
            <w:tcBorders>
              <w:top w:val="nil"/>
              <w:left w:val="nil"/>
              <w:bottom w:val="single" w:color="auto" w:sz="4" w:space="0"/>
              <w:right w:val="double" w:color="auto" w:sz="6" w:space="0"/>
            </w:tcBorders>
            <w:shd w:val="clear" w:color="000000" w:fill="F2F2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监控中心（ECC）</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主机房F</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测试机房一</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60"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kern w:val="0"/>
                <w:sz w:val="21"/>
                <w:szCs w:val="21"/>
              </w:rPr>
            </w:pPr>
            <w:r>
              <w:rPr>
                <w:rFonts w:hint="eastAsia" w:hAnsi="宋体" w:cs="宋体"/>
                <w:kern w:val="0"/>
                <w:sz w:val="21"/>
                <w:szCs w:val="21"/>
              </w:rPr>
              <w:t>测试机房二</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68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500" w:type="dxa"/>
            <w:tcBorders>
              <w:top w:val="nil"/>
              <w:left w:val="nil"/>
              <w:bottom w:val="single" w:color="auto" w:sz="4" w:space="0"/>
              <w:right w:val="single" w:color="auto" w:sz="4"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400" w:type="dxa"/>
            <w:tcBorders>
              <w:top w:val="nil"/>
              <w:left w:val="nil"/>
              <w:bottom w:val="single" w:color="auto" w:sz="4" w:space="0"/>
              <w:right w:val="double" w:color="auto" w:sz="6" w:space="0"/>
            </w:tcBorders>
            <w:shd w:val="clear" w:color="000000" w:fill="FFFFFF"/>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560" w:type="dxa"/>
            <w:tcBorders>
              <w:top w:val="nil"/>
              <w:left w:val="double" w:color="auto" w:sz="6" w:space="0"/>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w:t>
            </w:r>
          </w:p>
        </w:tc>
        <w:tc>
          <w:tcPr>
            <w:tcW w:w="196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合计</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14</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154</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43</w:t>
            </w:r>
          </w:p>
        </w:tc>
        <w:tc>
          <w:tcPr>
            <w:tcW w:w="68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40</w:t>
            </w:r>
          </w:p>
        </w:tc>
        <w:tc>
          <w:tcPr>
            <w:tcW w:w="68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5</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221</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19</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219</w:t>
            </w:r>
          </w:p>
        </w:tc>
        <w:tc>
          <w:tcPr>
            <w:tcW w:w="68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40</w:t>
            </w:r>
          </w:p>
        </w:tc>
        <w:tc>
          <w:tcPr>
            <w:tcW w:w="68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20</w:t>
            </w:r>
          </w:p>
        </w:tc>
        <w:tc>
          <w:tcPr>
            <w:tcW w:w="500" w:type="dxa"/>
            <w:tcBorders>
              <w:top w:val="nil"/>
              <w:left w:val="nil"/>
              <w:bottom w:val="double" w:color="auto" w:sz="6"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1</w:t>
            </w:r>
          </w:p>
        </w:tc>
        <w:tc>
          <w:tcPr>
            <w:tcW w:w="400" w:type="dxa"/>
            <w:tcBorders>
              <w:top w:val="nil"/>
              <w:left w:val="nil"/>
              <w:bottom w:val="double" w:color="auto" w:sz="6" w:space="0"/>
              <w:right w:val="double" w:color="auto" w:sz="6"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bl>
    <w:p>
      <w:pPr>
        <w:pStyle w:val="6"/>
        <w:numPr>
          <w:ilvl w:val="3"/>
          <w:numId w:val="72"/>
        </w:numPr>
        <w:rPr>
          <w:color w:val="auto"/>
        </w:rPr>
      </w:pPr>
      <w:r>
        <w:rPr>
          <w:rFonts w:hint="eastAsia"/>
          <w:color w:val="auto"/>
        </w:rPr>
        <w:t>统一展示监测系统</w:t>
      </w:r>
    </w:p>
    <w:p>
      <w:pPr>
        <w:ind w:firstLine="480" w:firstLineChars="200"/>
        <w:rPr>
          <w:rFonts w:hAnsi="宋体" w:cs="Arial"/>
        </w:rPr>
      </w:pPr>
      <w:r>
        <w:rPr>
          <w:rFonts w:hint="eastAsia" w:hAnsi="宋体" w:cs="Arial"/>
        </w:rPr>
        <w:t>2022年度，通过基础设施运维建设完善统一展示监测系统。该系统实现机房环境及动力监控系统、冷源群控系统、综合安防监控系统三个系统的统一的用户登录，登录成功后即可访问其它子系统。实现监控平台一体化展示，实现单点登录即可完成各个子系统的登录，以及建设DCIM的初级版本进行各子系统数据采集，目前是通过手动录入数据方式对页面进行展示，完成基础设施运行情况的大屏一览展示。</w:t>
      </w:r>
    </w:p>
    <w:p>
      <w:pPr>
        <w:ind w:firstLine="480" w:firstLineChars="200"/>
        <w:rPr>
          <w:rFonts w:hAnsi="宋体" w:cs="Arial"/>
        </w:rPr>
      </w:pPr>
      <w:r>
        <w:rPr>
          <w:rFonts w:hint="eastAsia" w:hAnsi="宋体" w:cs="Arial"/>
        </w:rPr>
        <w:t>单点登录建设独立的单点登录认证中心，提供用户登录界面，用户只需在该界面登录成功后即可访问到各个子系统，进行相应子系统的操作。</w:t>
      </w:r>
    </w:p>
    <w:p>
      <w:pPr>
        <w:ind w:firstLine="480" w:firstLineChars="200"/>
        <w:rPr>
          <w:rFonts w:hAnsi="宋体" w:cs="Arial"/>
        </w:rPr>
      </w:pPr>
      <w:r>
        <w:rPr>
          <w:rFonts w:hint="eastAsia" w:hAnsi="宋体" w:cs="Arial"/>
        </w:rPr>
        <w:t>各子系统包括机房环境及动力监控系统、冷冻水系统、消防子系统、综合安防监控系统）与单点登录认证中心进行对接，进行单点登录改造，包括用户登录的认证方式、登录超时处理以及注销退出处理改造。</w:t>
      </w:r>
    </w:p>
    <w:p>
      <w:pPr>
        <w:ind w:firstLine="480" w:firstLineChars="200"/>
        <w:rPr>
          <w:rFonts w:hAnsi="宋体" w:cs="Arial"/>
        </w:rPr>
      </w:pPr>
      <w:r>
        <w:rPr>
          <w:rFonts w:hint="eastAsia" w:hAnsi="宋体" w:cs="Arial"/>
        </w:rPr>
        <w:t>大屏展示内容包括如下：</w:t>
      </w:r>
    </w:p>
    <w:p>
      <w:pPr>
        <w:pStyle w:val="135"/>
        <w:numPr>
          <w:ilvl w:val="0"/>
          <w:numId w:val="77"/>
        </w:numPr>
        <w:ind w:left="0" w:firstLine="420" w:firstLineChars="175"/>
        <w:rPr>
          <w:rFonts w:hAnsi="宋体" w:cs="Arial"/>
        </w:rPr>
      </w:pPr>
      <w:r>
        <w:rPr>
          <w:rFonts w:hint="eastAsia" w:hAnsi="宋体" w:cs="Arial"/>
        </w:rPr>
        <w:t>能效数据：PUE、PUE趋势；总负载/IT负载/制冷负载，各项负载占比图，负载变化趋势；</w:t>
      </w:r>
    </w:p>
    <w:p>
      <w:pPr>
        <w:pStyle w:val="135"/>
        <w:numPr>
          <w:ilvl w:val="0"/>
          <w:numId w:val="77"/>
        </w:numPr>
        <w:ind w:left="0" w:firstLine="420" w:firstLineChars="175"/>
        <w:rPr>
          <w:rFonts w:hAnsi="宋体" w:cs="Arial"/>
        </w:rPr>
      </w:pPr>
      <w:r>
        <w:rPr>
          <w:rFonts w:hint="eastAsia" w:hAnsi="宋体" w:cs="Arial"/>
        </w:rPr>
        <w:t>容量数据：电力/制冷/空间的容量使用情况，容量使用趋势图；</w:t>
      </w:r>
    </w:p>
    <w:p>
      <w:pPr>
        <w:pStyle w:val="135"/>
        <w:numPr>
          <w:ilvl w:val="0"/>
          <w:numId w:val="77"/>
        </w:numPr>
        <w:ind w:left="0" w:firstLine="420" w:firstLineChars="175"/>
        <w:rPr>
          <w:rFonts w:hAnsi="宋体" w:cs="Arial"/>
        </w:rPr>
      </w:pPr>
      <w:r>
        <w:rPr>
          <w:rFonts w:hint="eastAsia" w:hAnsi="宋体" w:cs="Arial"/>
        </w:rPr>
        <w:t>安全数据：安全运行天数、后备电源情况、UPS负载率；</w:t>
      </w:r>
    </w:p>
    <w:p>
      <w:pPr>
        <w:pStyle w:val="135"/>
        <w:numPr>
          <w:ilvl w:val="0"/>
          <w:numId w:val="77"/>
        </w:numPr>
        <w:ind w:left="0" w:firstLine="420" w:firstLineChars="175"/>
        <w:rPr>
          <w:rFonts w:hAnsi="宋体" w:cs="Arial"/>
        </w:rPr>
      </w:pPr>
      <w:r>
        <w:rPr>
          <w:rFonts w:hint="eastAsia" w:hAnsi="宋体" w:cs="Arial"/>
        </w:rPr>
        <w:t>用电数据：用电量、用电趋势；</w:t>
      </w:r>
    </w:p>
    <w:p>
      <w:pPr>
        <w:pStyle w:val="135"/>
        <w:numPr>
          <w:ilvl w:val="0"/>
          <w:numId w:val="77"/>
        </w:numPr>
        <w:ind w:left="0" w:firstLine="420" w:firstLineChars="175"/>
        <w:rPr>
          <w:rFonts w:hAnsi="宋体" w:cs="Arial"/>
        </w:rPr>
      </w:pPr>
      <w:r>
        <w:rPr>
          <w:rFonts w:hint="eastAsia" w:hAnsi="宋体" w:cs="Arial"/>
        </w:rPr>
        <w:t>环境数据：温度、湿度，温湿度趋势；</w:t>
      </w:r>
    </w:p>
    <w:p>
      <w:pPr>
        <w:pStyle w:val="135"/>
        <w:numPr>
          <w:ilvl w:val="0"/>
          <w:numId w:val="77"/>
        </w:numPr>
        <w:ind w:left="0" w:firstLine="420" w:firstLineChars="175"/>
        <w:rPr>
          <w:rFonts w:hAnsi="宋体" w:cs="Arial"/>
        </w:rPr>
      </w:pPr>
      <w:r>
        <w:rPr>
          <w:rFonts w:hint="eastAsia" w:hAnsi="宋体" w:cs="Arial"/>
        </w:rPr>
        <w:t>告警数据：当日告警分类别，分等级统计。</w:t>
      </w:r>
    </w:p>
    <w:p>
      <w:pPr>
        <w:pStyle w:val="5"/>
        <w:numPr>
          <w:ilvl w:val="2"/>
          <w:numId w:val="72"/>
        </w:numPr>
      </w:pPr>
      <w:bookmarkStart w:id="45" w:name="_Toc20903"/>
      <w:r>
        <w:rPr>
          <w:rFonts w:hint="eastAsia"/>
        </w:rPr>
        <w:t>机房运维监控中心系统</w:t>
      </w:r>
      <w:bookmarkEnd w:id="45"/>
    </w:p>
    <w:p>
      <w:pPr>
        <w:ind w:firstLine="480" w:firstLineChars="200"/>
        <w:rPr>
          <w:rFonts w:hAnsi="宋体" w:cs="Arial"/>
        </w:rPr>
      </w:pPr>
      <w:r>
        <w:rPr>
          <w:rFonts w:hint="eastAsia" w:hAnsi="宋体" w:cs="Arial"/>
        </w:rPr>
        <w:t>机房运维监控中心部署于大楼四层，监控中心内配置2套4人位的操作台，操作台采用优质冷轧钢板制作，每个位置800mm(宽)×750mm(高)×900mm(深)；每个工作位上均配有1个掀盖式地插(含1个电源插座、3个网口、1个VGA口、1个音频口、1个视频口)+1个语音点；每套4人位的操作台预留2个电源桌插并配置2个UPS供电插座满足应急状态下使用，每个工作位配置1个视频接口，方便电脑信号传送至大屏显示系统上。</w:t>
      </w:r>
    </w:p>
    <w:p>
      <w:pPr>
        <w:pStyle w:val="9"/>
        <w:sectPr>
          <w:headerReference r:id="rId11" w:type="default"/>
          <w:footerReference r:id="rId13" w:type="default"/>
          <w:headerReference r:id="rId12" w:type="even"/>
          <w:footerReference r:id="rId14" w:type="even"/>
          <w:pgSz w:w="11906" w:h="16838"/>
          <w:pgMar w:top="1418" w:right="1134" w:bottom="1418" w:left="1701" w:header="851" w:footer="992" w:gutter="0"/>
          <w:cols w:space="425" w:num="1"/>
          <w:docGrid w:type="lines" w:linePitch="436" w:charSpace="195"/>
        </w:sectPr>
      </w:pPr>
    </w:p>
    <w:p>
      <w:pPr>
        <w:pStyle w:val="9"/>
        <w:numPr>
          <w:ilvl w:val="6"/>
          <w:numId w:val="72"/>
        </w:numPr>
      </w:pPr>
      <w:bookmarkStart w:id="46" w:name="_Toc183"/>
      <w:r>
        <w:rPr>
          <w:rFonts w:hint="eastAsia"/>
        </w:rPr>
        <w:t>招标品目与服务清单</w:t>
      </w:r>
      <w:bookmarkEnd w:id="46"/>
    </w:p>
    <w:p>
      <w:pPr>
        <w:pStyle w:val="3"/>
        <w:numPr>
          <w:ilvl w:val="0"/>
          <w:numId w:val="72"/>
        </w:numPr>
        <w:rPr>
          <w:color w:val="auto"/>
        </w:rPr>
      </w:pPr>
    </w:p>
    <w:p>
      <w:pPr>
        <w:ind w:firstLine="480" w:firstLineChars="200"/>
        <w:rPr>
          <w:rFonts w:hAnsi="宋体" w:cs="Arial"/>
        </w:rPr>
      </w:pPr>
      <w:r>
        <w:rPr>
          <w:rFonts w:hint="eastAsia" w:hAnsi="宋体" w:cs="Arial"/>
        </w:rPr>
        <w:t>数字福建云计算中心(政务云)基础设施运维服务项目（2024年度）服务品目如下所示：</w:t>
      </w:r>
    </w:p>
    <w:p>
      <w:pPr>
        <w:pStyle w:val="4"/>
        <w:numPr>
          <w:ilvl w:val="1"/>
          <w:numId w:val="72"/>
        </w:numPr>
      </w:pPr>
      <w:bookmarkStart w:id="47" w:name="_Toc5173"/>
      <w:r>
        <w:rPr>
          <w:rFonts w:hint="eastAsia"/>
        </w:rPr>
        <w:t>基础运维团队服务</w:t>
      </w:r>
      <w:bookmarkEnd w:id="47"/>
    </w:p>
    <w:p>
      <w:pPr>
        <w:pStyle w:val="11"/>
        <w:numPr>
          <w:ilvl w:val="8"/>
          <w:numId w:val="72"/>
        </w:numPr>
      </w:pPr>
      <w:bookmarkStart w:id="48" w:name="_Toc165045256"/>
      <w:r>
        <w:rPr>
          <w:rFonts w:hint="eastAsia"/>
        </w:rPr>
        <w:t>基础运维团队服务品目</w:t>
      </w:r>
      <w:bookmarkEnd w:id="48"/>
    </w:p>
    <w:tbl>
      <w:tblPr>
        <w:tblStyle w:val="75"/>
        <w:tblW w:w="9055" w:type="dxa"/>
        <w:tblInd w:w="0" w:type="dxa"/>
        <w:tblLayout w:type="autofit"/>
        <w:tblCellMar>
          <w:top w:w="0" w:type="dxa"/>
          <w:left w:w="108" w:type="dxa"/>
          <w:bottom w:w="0" w:type="dxa"/>
          <w:right w:w="108" w:type="dxa"/>
        </w:tblCellMar>
      </w:tblPr>
      <w:tblGrid>
        <w:gridCol w:w="1040"/>
        <w:gridCol w:w="3615"/>
        <w:gridCol w:w="760"/>
        <w:gridCol w:w="760"/>
        <w:gridCol w:w="2880"/>
      </w:tblGrid>
      <w:tr>
        <w:tblPrEx>
          <w:tblCellMar>
            <w:top w:w="0" w:type="dxa"/>
            <w:left w:w="108" w:type="dxa"/>
            <w:bottom w:w="0" w:type="dxa"/>
            <w:right w:w="108" w:type="dxa"/>
          </w:tblCellMar>
        </w:tblPrEx>
        <w:trPr>
          <w:trHeight w:val="280" w:hRule="atLeast"/>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品目号</w:t>
            </w:r>
          </w:p>
        </w:tc>
        <w:tc>
          <w:tcPr>
            <w:tcW w:w="3615" w:type="dxa"/>
            <w:tcBorders>
              <w:top w:val="double" w:color="auto" w:sz="6" w:space="0"/>
              <w:left w:val="nil"/>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品目</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数量</w:t>
            </w:r>
          </w:p>
        </w:tc>
        <w:tc>
          <w:tcPr>
            <w:tcW w:w="2880" w:type="dxa"/>
            <w:tcBorders>
              <w:top w:val="double" w:color="auto" w:sz="6" w:space="0"/>
              <w:left w:val="nil"/>
              <w:bottom w:val="single" w:color="auto" w:sz="4" w:space="0"/>
              <w:right w:val="double" w:color="auto" w:sz="6"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rPr>
          <w:trHeight w:val="890" w:hRule="atLeast"/>
        </w:trPr>
        <w:tc>
          <w:tcPr>
            <w:tcW w:w="1040" w:type="dxa"/>
            <w:tcBorders>
              <w:top w:val="nil"/>
              <w:left w:val="double" w:color="auto" w:sz="6" w:space="0"/>
              <w:bottom w:val="double" w:color="auto" w:sz="6" w:space="0"/>
              <w:right w:val="single" w:color="auto" w:sz="4" w:space="0"/>
            </w:tcBorders>
            <w:shd w:val="clear" w:color="auto" w:fill="auto"/>
            <w:vAlign w:val="center"/>
          </w:tcPr>
          <w:p>
            <w:pPr>
              <w:widowControl/>
              <w:jc w:val="center"/>
              <w:rPr>
                <w:rFonts w:hAnsi="宋体" w:cs="宋体"/>
                <w:kern w:val="0"/>
                <w:sz w:val="21"/>
                <w:szCs w:val="21"/>
              </w:rPr>
            </w:pPr>
            <w:r>
              <w:rPr>
                <w:rFonts w:hint="eastAsia" w:hAnsi="宋体" w:cs="宋体"/>
                <w:kern w:val="0"/>
                <w:sz w:val="21"/>
                <w:szCs w:val="21"/>
              </w:rPr>
              <w:t>1-1</w:t>
            </w:r>
          </w:p>
        </w:tc>
        <w:tc>
          <w:tcPr>
            <w:tcW w:w="3615" w:type="dxa"/>
            <w:tcBorders>
              <w:top w:val="nil"/>
              <w:left w:val="nil"/>
              <w:bottom w:val="double" w:color="auto" w:sz="6" w:space="0"/>
              <w:right w:val="single" w:color="auto" w:sz="4" w:space="0"/>
            </w:tcBorders>
            <w:shd w:val="clear" w:color="auto" w:fill="auto"/>
            <w:vAlign w:val="center"/>
          </w:tcPr>
          <w:p>
            <w:pPr>
              <w:widowControl/>
              <w:jc w:val="left"/>
              <w:rPr>
                <w:rFonts w:hAnsi="宋体" w:cs="宋体"/>
                <w:kern w:val="0"/>
                <w:sz w:val="21"/>
                <w:szCs w:val="21"/>
              </w:rPr>
            </w:pPr>
            <w:r>
              <w:rPr>
                <w:rFonts w:hint="eastAsia" w:hAnsi="宋体" w:cs="宋体"/>
                <w:kern w:val="0"/>
                <w:sz w:val="21"/>
                <w:szCs w:val="21"/>
              </w:rPr>
              <w:t>基础运维团队服务(派驻专业团队为数字福建云计算中心(政务云</w:t>
            </w:r>
            <w:r>
              <w:rPr>
                <w:rFonts w:hAnsi="宋体" w:cs="宋体"/>
                <w:kern w:val="0"/>
                <w:sz w:val="21"/>
                <w:szCs w:val="21"/>
              </w:rPr>
              <w:t>)</w:t>
            </w:r>
            <w:r>
              <w:rPr>
                <w:rFonts w:hint="eastAsia" w:hAnsi="宋体" w:cs="宋体"/>
                <w:kern w:val="0"/>
                <w:sz w:val="21"/>
                <w:szCs w:val="21"/>
              </w:rPr>
              <w:t>提供日常监控巡检、技术支撑保障、优化完善运维服务体系等服务</w:t>
            </w:r>
            <w:r>
              <w:rPr>
                <w:rFonts w:hAnsi="宋体" w:cs="宋体"/>
                <w:kern w:val="0"/>
                <w:sz w:val="21"/>
                <w:szCs w:val="21"/>
              </w:rPr>
              <w:t>)</w:t>
            </w:r>
          </w:p>
        </w:tc>
        <w:tc>
          <w:tcPr>
            <w:tcW w:w="760" w:type="dxa"/>
            <w:tcBorders>
              <w:top w:val="nil"/>
              <w:left w:val="nil"/>
              <w:bottom w:val="double" w:color="auto" w:sz="6" w:space="0"/>
              <w:right w:val="single" w:color="auto" w:sz="4" w:space="0"/>
            </w:tcBorders>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tcBorders>
              <w:top w:val="nil"/>
              <w:left w:val="nil"/>
              <w:bottom w:val="double" w:color="auto" w:sz="6" w:space="0"/>
              <w:right w:val="double" w:color="auto" w:sz="6" w:space="0"/>
            </w:tcBorders>
            <w:shd w:val="clear" w:color="auto" w:fill="auto"/>
            <w:vAlign w:val="center"/>
          </w:tcPr>
          <w:p>
            <w:pPr>
              <w:widowControl/>
              <w:jc w:val="left"/>
              <w:rPr>
                <w:rFonts w:hAnsi="宋体" w:cs="宋体"/>
                <w:kern w:val="0"/>
                <w:sz w:val="21"/>
                <w:szCs w:val="21"/>
              </w:rPr>
            </w:pPr>
            <w:r>
              <w:rPr>
                <w:rFonts w:hint="eastAsia" w:hAnsi="宋体" w:cs="宋体"/>
                <w:kern w:val="0"/>
                <w:sz w:val="21"/>
                <w:szCs w:val="21"/>
              </w:rPr>
              <w:t>详细技术要求见第4.2章“基础运维团队服务要求”</w:t>
            </w:r>
          </w:p>
        </w:tc>
      </w:tr>
    </w:tbl>
    <w:p>
      <w:pPr>
        <w:pStyle w:val="4"/>
        <w:numPr>
          <w:ilvl w:val="1"/>
          <w:numId w:val="72"/>
        </w:numPr>
      </w:pPr>
      <w:bookmarkStart w:id="49" w:name="_Toc11803"/>
      <w:r>
        <w:rPr>
          <w:rFonts w:hint="eastAsia"/>
        </w:rPr>
        <w:t>运维技术服务及相关备件耗材</w:t>
      </w:r>
      <w:bookmarkEnd w:id="49"/>
    </w:p>
    <w:p>
      <w:pPr>
        <w:pStyle w:val="5"/>
        <w:numPr>
          <w:ilvl w:val="2"/>
          <w:numId w:val="72"/>
        </w:numPr>
      </w:pPr>
      <w:bookmarkStart w:id="50" w:name="_Toc4723"/>
      <w:r>
        <w:rPr>
          <w:rFonts w:hint="eastAsia"/>
        </w:rPr>
        <w:t>维修修护服务品目</w:t>
      </w:r>
      <w:bookmarkEnd w:id="50"/>
    </w:p>
    <w:p>
      <w:pPr>
        <w:pStyle w:val="11"/>
        <w:numPr>
          <w:ilvl w:val="8"/>
          <w:numId w:val="72"/>
        </w:numPr>
      </w:pPr>
      <w:bookmarkStart w:id="51" w:name="_Toc165045257"/>
      <w:r>
        <w:rPr>
          <w:rFonts w:hint="eastAsia"/>
        </w:rPr>
        <w:t>维修维护服务品目</w:t>
      </w:r>
      <w:bookmarkEnd w:id="51"/>
    </w:p>
    <w:tbl>
      <w:tblPr>
        <w:tblStyle w:val="75"/>
        <w:tblW w:w="9055" w:type="dxa"/>
        <w:tblInd w:w="0" w:type="dxa"/>
        <w:tblLayout w:type="autofit"/>
        <w:tblCellMar>
          <w:top w:w="0" w:type="dxa"/>
          <w:left w:w="108" w:type="dxa"/>
          <w:bottom w:w="0" w:type="dxa"/>
          <w:right w:w="108" w:type="dxa"/>
        </w:tblCellMar>
      </w:tblPr>
      <w:tblGrid>
        <w:gridCol w:w="1040"/>
        <w:gridCol w:w="3615"/>
        <w:gridCol w:w="760"/>
        <w:gridCol w:w="760"/>
        <w:gridCol w:w="2880"/>
      </w:tblGrid>
      <w:tr>
        <w:tblPrEx>
          <w:tblCellMar>
            <w:top w:w="0" w:type="dxa"/>
            <w:left w:w="108" w:type="dxa"/>
            <w:bottom w:w="0" w:type="dxa"/>
            <w:right w:w="108" w:type="dxa"/>
          </w:tblCellMar>
        </w:tblPrEx>
        <w:trPr>
          <w:trHeight w:val="280" w:hRule="atLeast"/>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3615"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288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2-1</w:t>
            </w:r>
          </w:p>
        </w:tc>
        <w:tc>
          <w:tcPr>
            <w:tcW w:w="3615" w:type="dxa"/>
            <w:tcBorders>
              <w:top w:val="nil"/>
              <w:left w:val="nil"/>
              <w:bottom w:val="single" w:color="auto" w:sz="4" w:space="0"/>
              <w:right w:val="single" w:color="auto" w:sz="4"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机柜维修维护</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80" w:type="dxa"/>
            <w:tcBorders>
              <w:top w:val="nil"/>
              <w:left w:val="nil"/>
              <w:bottom w:val="single" w:color="auto" w:sz="4" w:space="0"/>
              <w:right w:val="double" w:color="auto" w:sz="6"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常规机柜维修维护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restart"/>
            <w:tcBorders>
              <w:top w:val="nil"/>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详细技术要求见第4.3.1.1章“机柜维修维护要求”</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2-1-2</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微模块机柜维修维护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2-2</w:t>
            </w:r>
          </w:p>
        </w:tc>
        <w:tc>
          <w:tcPr>
            <w:tcW w:w="3615" w:type="dxa"/>
            <w:tcBorders>
              <w:top w:val="nil"/>
              <w:left w:val="nil"/>
              <w:bottom w:val="single" w:color="auto" w:sz="4" w:space="0"/>
              <w:right w:val="single" w:color="auto" w:sz="4"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通风空调系统维修维护</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80" w:type="dxa"/>
            <w:tcBorders>
              <w:top w:val="nil"/>
              <w:left w:val="nil"/>
              <w:bottom w:val="single" w:color="auto" w:sz="4" w:space="0"/>
              <w:right w:val="double" w:color="auto" w:sz="6"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冷冻水机组维修维护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restart"/>
            <w:tcBorders>
              <w:top w:val="nil"/>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详细技术要求见第4.3.1.2章“</w:t>
            </w:r>
            <w:r>
              <w:rPr>
                <w:rFonts w:hint="eastAsia" w:hAnsi="宋体" w:cs="宋体"/>
              </w:rPr>
              <w:t>通风空调系统维修维护要求</w:t>
            </w:r>
            <w:r>
              <w:rPr>
                <w:rFonts w:hint="eastAsia" w:hAnsi="宋体" w:cs="宋体"/>
                <w:kern w:val="0"/>
                <w:sz w:val="21"/>
                <w:szCs w:val="21"/>
              </w:rPr>
              <w:t>”</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2-2-2</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冷却塔维修维护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2-2-3</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冷却水泵维修维护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2-2-4</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蓄冷罐维修维护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2-2-5</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恒温恒湿空调机组维修维护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2-2-6</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加湿器维修维护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2-2-7</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普通风柜维修维护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2-2-8</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新风处理机组维修维护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2-2-9</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水管、阀门、风管、风阀、风口的维修维护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2-2-10</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办公及新风冷源系统维修维护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制冷系统运行及自控系统维修维护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2-3</w:t>
            </w:r>
          </w:p>
        </w:tc>
        <w:tc>
          <w:tcPr>
            <w:tcW w:w="3615" w:type="dxa"/>
            <w:tcBorders>
              <w:top w:val="nil"/>
              <w:left w:val="nil"/>
              <w:bottom w:val="single" w:color="auto" w:sz="4" w:space="0"/>
              <w:right w:val="single" w:color="auto" w:sz="4"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电气系统维修维护</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80" w:type="dxa"/>
            <w:tcBorders>
              <w:top w:val="nil"/>
              <w:left w:val="nil"/>
              <w:bottom w:val="single" w:color="auto" w:sz="4" w:space="0"/>
              <w:right w:val="double" w:color="auto" w:sz="6"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restart"/>
            <w:tcBorders>
              <w:top w:val="nil"/>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详细技术要求见第4.3.1.3章“</w:t>
            </w:r>
            <w:r>
              <w:rPr>
                <w:rFonts w:hint="eastAsia" w:hAnsi="宋体" w:cs="宋体"/>
              </w:rPr>
              <w:t>电气系统维修维护要求</w:t>
            </w:r>
            <w:r>
              <w:rPr>
                <w:rFonts w:hint="eastAsia" w:hAnsi="宋体" w:cs="宋体"/>
                <w:kern w:val="0"/>
                <w:sz w:val="21"/>
                <w:szCs w:val="21"/>
              </w:rPr>
              <w:t>”</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2-3-2</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变压器维修维护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2-3-3</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低压配电柜维修维护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2-3-4</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微模块UPS维修维护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2-3-5</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传统机房UPS维修维护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2-3-6</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EPS维修维护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2-3-7</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高低压电缆线路巡查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2-4</w:t>
            </w:r>
          </w:p>
        </w:tc>
        <w:tc>
          <w:tcPr>
            <w:tcW w:w="3615" w:type="dxa"/>
            <w:tcBorders>
              <w:top w:val="nil"/>
              <w:left w:val="nil"/>
              <w:bottom w:val="single" w:color="auto" w:sz="4" w:space="0"/>
              <w:right w:val="single" w:color="auto" w:sz="4"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智能化系统维修维护</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80" w:type="dxa"/>
            <w:tcBorders>
              <w:top w:val="nil"/>
              <w:left w:val="nil"/>
              <w:bottom w:val="single" w:color="auto" w:sz="4" w:space="0"/>
              <w:right w:val="double" w:color="auto" w:sz="6"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门禁控制系统维修维护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restart"/>
            <w:tcBorders>
              <w:top w:val="nil"/>
              <w:left w:val="single" w:color="auto" w:sz="4" w:space="0"/>
              <w:bottom w:val="single" w:color="000000"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详细技术要求见第4.3.1.4章“智能化系统维修维护要求”</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2-4-2</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入侵报警系统维修维护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2-4-3</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机房KVM切换系统维修维护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2-4-4</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综合布线系统维修维护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2-4-5</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机房运维网络维修维护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54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2-4-6</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机房办公网络（包括大楼无线WIFI设备）维护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2-4-7</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机房运维中心大屏显示系统维修维护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2-4-8</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DCIM场地监控维修维护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2-4-9</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机房和大楼安防监控系统维修维护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single" w:color="000000"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2-5</w:t>
            </w:r>
          </w:p>
        </w:tc>
        <w:tc>
          <w:tcPr>
            <w:tcW w:w="3615" w:type="dxa"/>
            <w:tcBorders>
              <w:top w:val="nil"/>
              <w:left w:val="nil"/>
              <w:bottom w:val="single" w:color="auto" w:sz="4" w:space="0"/>
              <w:right w:val="single" w:color="auto" w:sz="4"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消防系统维修维护</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60" w:type="dxa"/>
            <w:tcBorders>
              <w:top w:val="nil"/>
              <w:left w:val="nil"/>
              <w:bottom w:val="single" w:color="auto" w:sz="4" w:space="0"/>
              <w:right w:val="single" w:color="auto" w:sz="4" w:space="0"/>
            </w:tcBorders>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80" w:type="dxa"/>
            <w:tcBorders>
              <w:top w:val="nil"/>
              <w:left w:val="nil"/>
              <w:bottom w:val="single" w:color="auto" w:sz="4" w:space="0"/>
              <w:right w:val="double" w:color="auto" w:sz="6" w:space="0"/>
            </w:tcBorders>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2-5-1</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机房火灾自动报警系统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restart"/>
            <w:tcBorders>
              <w:top w:val="nil"/>
              <w:left w:val="single" w:color="auto" w:sz="4" w:space="0"/>
              <w:bottom w:val="double" w:color="000000"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详细技术要求见第4.3.1.5章“消防系统维修维护”</w:t>
            </w: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2</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机房防排烟系统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3</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机房消防联动控制系统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4</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机房应急疏散指示灯</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5</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机房消防广播系统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6</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机房电气火灾监测系统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7</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机房消防电源监控系统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80" w:hRule="atLeast"/>
        </w:trPr>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8</w:t>
            </w:r>
          </w:p>
        </w:tc>
        <w:tc>
          <w:tcPr>
            <w:tcW w:w="361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机房气体灭火系统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rPr>
          <w:trHeight w:val="270" w:hRule="atLeast"/>
        </w:trPr>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9</w:t>
            </w:r>
          </w:p>
        </w:tc>
        <w:tc>
          <w:tcPr>
            <w:tcW w:w="3615"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机房消防器材（灭火器、半固定泡沫灭火装置等）</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80" w:type="dxa"/>
            <w:vMerge w:val="continue"/>
            <w:tcBorders>
              <w:top w:val="nil"/>
              <w:left w:val="single" w:color="auto" w:sz="4" w:space="0"/>
              <w:bottom w:val="double" w:color="000000" w:sz="6" w:space="0"/>
              <w:right w:val="double" w:color="auto" w:sz="6" w:space="0"/>
            </w:tcBorders>
            <w:vAlign w:val="center"/>
          </w:tcPr>
          <w:p>
            <w:pPr>
              <w:widowControl/>
              <w:spacing w:line="360" w:lineRule="exact"/>
              <w:jc w:val="left"/>
              <w:rPr>
                <w:rFonts w:hAnsi="宋体" w:cs="宋体"/>
                <w:kern w:val="0"/>
                <w:sz w:val="21"/>
                <w:szCs w:val="21"/>
              </w:rPr>
            </w:pPr>
          </w:p>
        </w:tc>
      </w:tr>
    </w:tbl>
    <w:p>
      <w:pPr>
        <w:pStyle w:val="5"/>
        <w:numPr>
          <w:ilvl w:val="2"/>
          <w:numId w:val="72"/>
        </w:numPr>
      </w:pPr>
      <w:bookmarkStart w:id="52" w:name="_Toc445"/>
      <w:r>
        <w:rPr>
          <w:rFonts w:hint="eastAsia"/>
        </w:rPr>
        <w:t>检测及测评服务品目</w:t>
      </w:r>
      <w:bookmarkEnd w:id="52"/>
    </w:p>
    <w:p>
      <w:pPr>
        <w:pStyle w:val="11"/>
        <w:numPr>
          <w:ilvl w:val="8"/>
          <w:numId w:val="72"/>
        </w:numPr>
      </w:pPr>
      <w:bookmarkStart w:id="53" w:name="_Toc165045258"/>
      <w:r>
        <w:rPr>
          <w:rFonts w:hint="eastAsia"/>
        </w:rPr>
        <w:t>检测及测评服务品目</w:t>
      </w:r>
      <w:bookmarkEnd w:id="53"/>
    </w:p>
    <w:tbl>
      <w:tblPr>
        <w:tblStyle w:val="75"/>
        <w:tblW w:w="9055"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40"/>
        <w:gridCol w:w="3615"/>
        <w:gridCol w:w="760"/>
        <w:gridCol w:w="760"/>
        <w:gridCol w:w="2880"/>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80" w:hRule="atLeast"/>
          <w:tblHeader/>
        </w:trPr>
        <w:tc>
          <w:tcPr>
            <w:tcW w:w="1040"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品目号</w:t>
            </w:r>
          </w:p>
        </w:tc>
        <w:tc>
          <w:tcPr>
            <w:tcW w:w="3615"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品目</w:t>
            </w:r>
          </w:p>
        </w:tc>
        <w:tc>
          <w:tcPr>
            <w:tcW w:w="760"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单位</w:t>
            </w:r>
          </w:p>
        </w:tc>
        <w:tc>
          <w:tcPr>
            <w:tcW w:w="760"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数量</w:t>
            </w:r>
          </w:p>
        </w:tc>
        <w:tc>
          <w:tcPr>
            <w:tcW w:w="2880" w:type="dxa"/>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rHeight w:val="270" w:hRule="atLeast"/>
        </w:trPr>
        <w:tc>
          <w:tcPr>
            <w:tcW w:w="104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2-6</w:t>
            </w:r>
          </w:p>
        </w:tc>
        <w:tc>
          <w:tcPr>
            <w:tcW w:w="3615" w:type="dxa"/>
            <w:shd w:val="clear" w:color="000000" w:fill="DDEBF7"/>
            <w:vAlign w:val="center"/>
          </w:tcPr>
          <w:p>
            <w:pPr>
              <w:widowControl/>
              <w:jc w:val="left"/>
              <w:rPr>
                <w:rFonts w:hAnsi="宋体" w:cs="宋体"/>
                <w:b/>
                <w:bCs/>
                <w:kern w:val="0"/>
                <w:sz w:val="21"/>
                <w:szCs w:val="21"/>
              </w:rPr>
            </w:pPr>
            <w:r>
              <w:rPr>
                <w:rFonts w:hint="eastAsia" w:hAnsi="宋体" w:cs="宋体"/>
                <w:b/>
                <w:bCs/>
                <w:kern w:val="0"/>
                <w:sz w:val="21"/>
                <w:szCs w:val="21"/>
              </w:rPr>
              <w:t>防雷检测服务</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　</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　</w:t>
            </w:r>
          </w:p>
        </w:tc>
        <w:tc>
          <w:tcPr>
            <w:tcW w:w="2880" w:type="dxa"/>
            <w:shd w:val="clear" w:color="000000" w:fill="DDEBF7"/>
            <w:vAlign w:val="center"/>
          </w:tcPr>
          <w:p>
            <w:pPr>
              <w:widowControl/>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2-6-1</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机房防雷检测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restart"/>
            <w:shd w:val="clear" w:color="auto" w:fill="auto"/>
            <w:vAlign w:val="center"/>
          </w:tcPr>
          <w:p>
            <w:pPr>
              <w:widowControl/>
              <w:jc w:val="left"/>
              <w:rPr>
                <w:rFonts w:hAnsi="宋体" w:cs="宋体"/>
                <w:kern w:val="0"/>
                <w:sz w:val="21"/>
                <w:szCs w:val="21"/>
              </w:rPr>
            </w:pPr>
            <w:r>
              <w:rPr>
                <w:rFonts w:hint="eastAsia" w:hAnsi="宋体" w:cs="宋体"/>
                <w:kern w:val="0"/>
                <w:sz w:val="21"/>
                <w:szCs w:val="21"/>
              </w:rPr>
              <w:t>详细技术要求见第4.3.2.1章“防雷检测服务”</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2-6-2</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配电及公共部分防雷点位检测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2-7</w:t>
            </w:r>
          </w:p>
        </w:tc>
        <w:tc>
          <w:tcPr>
            <w:tcW w:w="3615" w:type="dxa"/>
            <w:shd w:val="clear" w:color="000000" w:fill="DDEBF7"/>
            <w:vAlign w:val="center"/>
          </w:tcPr>
          <w:p>
            <w:pPr>
              <w:widowControl/>
              <w:jc w:val="left"/>
              <w:rPr>
                <w:rFonts w:hAnsi="宋体" w:cs="宋体"/>
                <w:b/>
                <w:bCs/>
                <w:kern w:val="0"/>
                <w:sz w:val="21"/>
                <w:szCs w:val="21"/>
              </w:rPr>
            </w:pPr>
            <w:r>
              <w:rPr>
                <w:rFonts w:hint="eastAsia" w:hAnsi="宋体" w:cs="宋体"/>
                <w:b/>
                <w:bCs/>
                <w:kern w:val="0"/>
                <w:sz w:val="21"/>
                <w:szCs w:val="21"/>
              </w:rPr>
              <w:t>消防检测服务</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　</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　</w:t>
            </w:r>
          </w:p>
        </w:tc>
        <w:tc>
          <w:tcPr>
            <w:tcW w:w="2880" w:type="dxa"/>
            <w:shd w:val="clear" w:color="000000" w:fill="DDEBF7"/>
            <w:vAlign w:val="center"/>
          </w:tcPr>
          <w:p>
            <w:pPr>
              <w:widowControl/>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2-7-1</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火灾自动报警和消防联动控制系统检测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restart"/>
            <w:shd w:val="clear" w:color="auto" w:fill="auto"/>
            <w:vAlign w:val="center"/>
          </w:tcPr>
          <w:p>
            <w:pPr>
              <w:widowControl/>
              <w:jc w:val="left"/>
              <w:rPr>
                <w:rFonts w:hAnsi="宋体" w:cs="宋体"/>
                <w:kern w:val="0"/>
                <w:sz w:val="21"/>
                <w:szCs w:val="21"/>
              </w:rPr>
            </w:pPr>
            <w:r>
              <w:rPr>
                <w:rFonts w:hint="eastAsia" w:hAnsi="宋体" w:cs="宋体"/>
                <w:kern w:val="0"/>
                <w:sz w:val="21"/>
                <w:szCs w:val="21"/>
              </w:rPr>
              <w:t>详细技术要求见第4.3.2.2章“消防检测服务”</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2-7-2</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消防自动喷水灭火系统检测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2-7-3</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气体灭火系统检测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2-7-4</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防火卷帘系统与防火门系统检测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2-7-5</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通风排烟系统检测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2-7-6</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应急照明及疏散指示系统检测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rHeight w:val="270" w:hRule="atLeast"/>
        </w:trPr>
        <w:tc>
          <w:tcPr>
            <w:tcW w:w="104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2-7-7</w:t>
            </w:r>
          </w:p>
        </w:tc>
        <w:tc>
          <w:tcPr>
            <w:tcW w:w="3615" w:type="dxa"/>
            <w:shd w:val="clear" w:color="auto" w:fill="auto"/>
            <w:vAlign w:val="center"/>
          </w:tcPr>
          <w:p>
            <w:pPr>
              <w:widowControl/>
              <w:jc w:val="left"/>
              <w:rPr>
                <w:rFonts w:hAnsi="宋体" w:cs="宋体"/>
                <w:kern w:val="0"/>
                <w:sz w:val="21"/>
                <w:szCs w:val="21"/>
              </w:rPr>
            </w:pPr>
            <w:r>
              <w:rPr>
                <w:rFonts w:hint="eastAsia" w:hAnsi="宋体" w:cs="宋体"/>
                <w:kern w:val="0"/>
                <w:sz w:val="21"/>
                <w:szCs w:val="21"/>
              </w:rPr>
              <w:t>电气防火安全检测</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880" w:type="dxa"/>
            <w:vMerge w:val="continue"/>
            <w:vAlign w:val="center"/>
          </w:tcPr>
          <w:p>
            <w:pPr>
              <w:widowControl/>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104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2-8</w:t>
            </w:r>
          </w:p>
        </w:tc>
        <w:tc>
          <w:tcPr>
            <w:tcW w:w="3615" w:type="dxa"/>
            <w:shd w:val="clear" w:color="000000" w:fill="DDEBF7"/>
            <w:vAlign w:val="center"/>
          </w:tcPr>
          <w:p>
            <w:pPr>
              <w:widowControl/>
              <w:jc w:val="left"/>
              <w:rPr>
                <w:rFonts w:hAnsi="宋体" w:cs="宋体"/>
                <w:b/>
                <w:bCs/>
                <w:kern w:val="0"/>
                <w:sz w:val="21"/>
                <w:szCs w:val="21"/>
              </w:rPr>
            </w:pPr>
            <w:r>
              <w:rPr>
                <w:rFonts w:hint="eastAsia" w:hAnsi="宋体" w:cs="宋体"/>
                <w:b/>
                <w:bCs/>
                <w:kern w:val="0"/>
                <w:sz w:val="21"/>
                <w:szCs w:val="21"/>
              </w:rPr>
              <w:t>安全测评服务</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项</w:t>
            </w:r>
          </w:p>
        </w:tc>
        <w:tc>
          <w:tcPr>
            <w:tcW w:w="760" w:type="dxa"/>
            <w:shd w:val="clear" w:color="000000" w:fill="DDEBF7"/>
            <w:vAlign w:val="center"/>
          </w:tcPr>
          <w:p>
            <w:pPr>
              <w:widowControl/>
              <w:jc w:val="center"/>
              <w:rPr>
                <w:rFonts w:hAnsi="宋体" w:cs="宋体"/>
                <w:b/>
                <w:bCs/>
                <w:kern w:val="0"/>
                <w:sz w:val="21"/>
                <w:szCs w:val="21"/>
              </w:rPr>
            </w:pPr>
            <w:r>
              <w:rPr>
                <w:rFonts w:hint="eastAsia" w:hAnsi="宋体" w:cs="宋体"/>
                <w:b/>
                <w:bCs/>
                <w:kern w:val="0"/>
                <w:sz w:val="21"/>
                <w:szCs w:val="21"/>
              </w:rPr>
              <w:t>1</w:t>
            </w:r>
          </w:p>
        </w:tc>
        <w:tc>
          <w:tcPr>
            <w:tcW w:w="2880" w:type="dxa"/>
            <w:shd w:val="clear" w:color="000000" w:fill="DDEBF7"/>
            <w:vAlign w:val="center"/>
          </w:tcPr>
          <w:p>
            <w:pPr>
              <w:widowControl/>
              <w:jc w:val="left"/>
              <w:rPr>
                <w:rFonts w:hAnsi="宋体" w:cs="宋体"/>
                <w:b/>
                <w:bCs/>
                <w:kern w:val="0"/>
                <w:sz w:val="21"/>
                <w:szCs w:val="21"/>
              </w:rPr>
            </w:pPr>
            <w:r>
              <w:rPr>
                <w:rFonts w:hint="eastAsia" w:hAnsi="宋体" w:cs="宋体"/>
                <w:b/>
                <w:bCs/>
                <w:kern w:val="0"/>
                <w:sz w:val="21"/>
                <w:szCs w:val="21"/>
              </w:rPr>
              <w:t>详细技术要求见第4.3.2.3章“安全测评服务”</w:t>
            </w:r>
          </w:p>
        </w:tc>
      </w:tr>
    </w:tbl>
    <w:p>
      <w:pPr>
        <w:pStyle w:val="5"/>
        <w:numPr>
          <w:ilvl w:val="2"/>
          <w:numId w:val="72"/>
        </w:numPr>
      </w:pPr>
      <w:bookmarkStart w:id="54" w:name="_Toc1945"/>
      <w:r>
        <w:rPr>
          <w:rFonts w:hint="eastAsia"/>
        </w:rPr>
        <w:t>改造提升服务品目</w:t>
      </w:r>
      <w:bookmarkEnd w:id="54"/>
    </w:p>
    <w:p>
      <w:pPr>
        <w:pStyle w:val="11"/>
        <w:numPr>
          <w:ilvl w:val="8"/>
          <w:numId w:val="72"/>
        </w:numPr>
      </w:pPr>
      <w:bookmarkStart w:id="55" w:name="_Toc165045259"/>
      <w:r>
        <w:rPr>
          <w:rFonts w:hint="eastAsia"/>
        </w:rPr>
        <w:t>改造提升服务品目</w:t>
      </w:r>
      <w:bookmarkEnd w:id="55"/>
    </w:p>
    <w:tbl>
      <w:tblPr>
        <w:tblStyle w:val="75"/>
        <w:tblW w:w="9055"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61"/>
        <w:gridCol w:w="3550"/>
        <w:gridCol w:w="753"/>
        <w:gridCol w:w="753"/>
        <w:gridCol w:w="2838"/>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1161"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355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753"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53"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2838"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2-9</w:t>
            </w:r>
          </w:p>
        </w:tc>
        <w:tc>
          <w:tcPr>
            <w:tcW w:w="3550" w:type="dxa"/>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硬件设施改造提升服务</w:t>
            </w:r>
          </w:p>
        </w:tc>
        <w:tc>
          <w:tcPr>
            <w:tcW w:w="753"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53"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38" w:type="dxa"/>
            <w:shd w:val="clear" w:color="000000" w:fill="DDEBF7"/>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2-9-1</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UPS蓄电池更换</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节</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109</w:t>
            </w:r>
          </w:p>
        </w:tc>
        <w:tc>
          <w:tcPr>
            <w:tcW w:w="2838" w:type="dxa"/>
            <w:vMerge w:val="restart"/>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详细技术要求见第4.3.3.1章“硬件设施改造提升服务要求”</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2-9-2</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制冷管路系统提升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2-9-3</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冷却塔防腐改造</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2-9-4</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rPr>
              <w:t>制冷机房照明改造</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2-9-5</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制冷机房门禁改造</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2-9-6</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rPr>
              <w:t>加湿器防腐改造</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2-9-7</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园区改造</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1161"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2-10</w:t>
            </w:r>
          </w:p>
        </w:tc>
        <w:tc>
          <w:tcPr>
            <w:tcW w:w="3550" w:type="dxa"/>
            <w:shd w:val="clear" w:color="000000" w:fill="DDEBF7"/>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运维系统优化提升服务</w:t>
            </w:r>
          </w:p>
        </w:tc>
        <w:tc>
          <w:tcPr>
            <w:tcW w:w="753"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753" w:type="dxa"/>
            <w:shd w:val="clear" w:color="000000" w:fill="DDEBF7"/>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c>
          <w:tcPr>
            <w:tcW w:w="2838" w:type="dxa"/>
            <w:shd w:val="clear" w:color="000000" w:fill="DDEBF7"/>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2-10-1</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rPr>
              <w:t>动环监控系统提升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restart"/>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详细技术要求见第4.3.3.2章“运维系统优化提升服务要求”</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2-10-2</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rPr>
              <w:t>视频监控系统提升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DBE5F1" w:themeFill="accent1" w:themeFillTint="33"/>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2</w:t>
            </w:r>
            <w:r>
              <w:rPr>
                <w:rFonts w:hAnsi="宋体" w:cs="宋体"/>
                <w:b/>
                <w:bCs/>
                <w:kern w:val="0"/>
                <w:sz w:val="21"/>
                <w:szCs w:val="21"/>
              </w:rPr>
              <w:t>-1</w:t>
            </w:r>
            <w:r>
              <w:rPr>
                <w:rFonts w:hint="eastAsia" w:hAnsi="宋体" w:cs="宋体"/>
                <w:b/>
                <w:bCs/>
                <w:kern w:val="0"/>
                <w:sz w:val="21"/>
                <w:szCs w:val="21"/>
              </w:rPr>
              <w:t>1</w:t>
            </w:r>
          </w:p>
        </w:tc>
        <w:tc>
          <w:tcPr>
            <w:tcW w:w="3550" w:type="dxa"/>
            <w:shd w:val="clear" w:color="auto" w:fill="DBE5F1" w:themeFill="accent1" w:themeFillTint="33"/>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综合能力提升服务</w:t>
            </w:r>
          </w:p>
        </w:tc>
        <w:tc>
          <w:tcPr>
            <w:tcW w:w="753" w:type="dxa"/>
            <w:shd w:val="clear" w:color="auto" w:fill="DBE5F1" w:themeFill="accent1" w:themeFillTint="33"/>
            <w:vAlign w:val="center"/>
          </w:tcPr>
          <w:p>
            <w:pPr>
              <w:widowControl/>
              <w:spacing w:line="360" w:lineRule="exact"/>
              <w:jc w:val="center"/>
              <w:rPr>
                <w:rFonts w:hAnsi="宋体" w:cs="宋体"/>
                <w:b/>
                <w:bCs/>
                <w:kern w:val="0"/>
                <w:sz w:val="21"/>
                <w:szCs w:val="21"/>
              </w:rPr>
            </w:pPr>
          </w:p>
        </w:tc>
        <w:tc>
          <w:tcPr>
            <w:tcW w:w="753" w:type="dxa"/>
            <w:shd w:val="clear" w:color="auto" w:fill="DBE5F1" w:themeFill="accent1" w:themeFillTint="33"/>
            <w:vAlign w:val="center"/>
          </w:tcPr>
          <w:p>
            <w:pPr>
              <w:widowControl/>
              <w:spacing w:line="360" w:lineRule="exact"/>
              <w:jc w:val="center"/>
              <w:rPr>
                <w:rFonts w:hAnsi="宋体" w:cs="宋体"/>
                <w:b/>
                <w:bCs/>
                <w:kern w:val="0"/>
                <w:sz w:val="21"/>
                <w:szCs w:val="21"/>
              </w:rPr>
            </w:pPr>
          </w:p>
        </w:tc>
        <w:tc>
          <w:tcPr>
            <w:tcW w:w="2838" w:type="dxa"/>
            <w:shd w:val="clear" w:color="auto" w:fill="DBE5F1" w:themeFill="accent1" w:themeFillTint="33"/>
            <w:vAlign w:val="center"/>
          </w:tcPr>
          <w:p>
            <w:pPr>
              <w:widowControl/>
              <w:spacing w:line="360" w:lineRule="exact"/>
              <w:jc w:val="center"/>
              <w:rPr>
                <w:rFonts w:hAnsi="宋体" w:cs="宋体"/>
                <w:b/>
                <w:bCs/>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r>
              <w:rPr>
                <w:rFonts w:hAnsi="宋体" w:cs="宋体"/>
                <w:kern w:val="0"/>
                <w:sz w:val="21"/>
                <w:szCs w:val="21"/>
              </w:rPr>
              <w:t>-1</w:t>
            </w:r>
            <w:r>
              <w:rPr>
                <w:rFonts w:hint="eastAsia" w:hAnsi="宋体" w:cs="宋体"/>
                <w:kern w:val="0"/>
                <w:sz w:val="21"/>
                <w:szCs w:val="21"/>
              </w:rPr>
              <w:t>1</w:t>
            </w:r>
            <w:r>
              <w:rPr>
                <w:rFonts w:hAnsi="宋体" w:cs="宋体"/>
                <w:kern w:val="0"/>
                <w:sz w:val="21"/>
                <w:szCs w:val="21"/>
              </w:rPr>
              <w:t>-1</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运维网络安全保障能力提升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restart"/>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详细技术要求见第4.3.3.</w:t>
            </w:r>
            <w:r>
              <w:rPr>
                <w:rFonts w:hAnsi="宋体" w:cs="宋体"/>
                <w:kern w:val="0"/>
                <w:sz w:val="21"/>
                <w:szCs w:val="21"/>
              </w:rPr>
              <w:t>3</w:t>
            </w:r>
            <w:r>
              <w:rPr>
                <w:rFonts w:hint="eastAsia" w:hAnsi="宋体" w:cs="宋体"/>
                <w:kern w:val="0"/>
                <w:sz w:val="21"/>
                <w:szCs w:val="21"/>
              </w:rPr>
              <w:t>章“</w:t>
            </w:r>
            <w:r>
              <w:rPr>
                <w:rFonts w:hint="eastAsia" w:hAnsi="宋体" w:cs="宋体"/>
              </w:rPr>
              <w:t>综合能力提升服务要求</w:t>
            </w:r>
            <w:r>
              <w:rPr>
                <w:rFonts w:hint="eastAsia" w:hAnsi="宋体" w:cs="宋体"/>
                <w:kern w:val="0"/>
                <w:sz w:val="21"/>
                <w:szCs w:val="21"/>
              </w:rPr>
              <w:t>”</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r>
              <w:rPr>
                <w:rFonts w:hAnsi="宋体" w:cs="宋体"/>
                <w:kern w:val="0"/>
                <w:sz w:val="21"/>
                <w:szCs w:val="21"/>
              </w:rPr>
              <w:t>-1</w:t>
            </w:r>
            <w:r>
              <w:rPr>
                <w:rFonts w:hint="eastAsia" w:hAnsi="宋体" w:cs="宋体"/>
                <w:kern w:val="0"/>
                <w:sz w:val="21"/>
                <w:szCs w:val="21"/>
              </w:rPr>
              <w:t>1</w:t>
            </w:r>
            <w:r>
              <w:rPr>
                <w:rFonts w:hAnsi="宋体" w:cs="宋体"/>
                <w:kern w:val="0"/>
                <w:sz w:val="21"/>
                <w:szCs w:val="21"/>
              </w:rPr>
              <w:t>-2</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节能降碳改造提升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2-11-3</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宣传优化提升</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838" w:type="dxa"/>
            <w:vMerge w:val="continue"/>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161"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2-11-4</w:t>
            </w:r>
          </w:p>
        </w:tc>
        <w:tc>
          <w:tcPr>
            <w:tcW w:w="355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优化提升运维和安全管理制度</w:t>
            </w:r>
          </w:p>
        </w:tc>
        <w:tc>
          <w:tcPr>
            <w:tcW w:w="753"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53"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c>
          <w:tcPr>
            <w:tcW w:w="2838" w:type="dxa"/>
            <w:vMerge w:val="continue"/>
            <w:shd w:val="clear" w:color="auto" w:fill="auto"/>
            <w:vAlign w:val="center"/>
          </w:tcPr>
          <w:p>
            <w:pPr>
              <w:widowControl/>
              <w:spacing w:line="360" w:lineRule="exact"/>
              <w:jc w:val="left"/>
              <w:rPr>
                <w:rFonts w:hAnsi="宋体" w:cs="宋体"/>
                <w:kern w:val="0"/>
                <w:sz w:val="21"/>
                <w:szCs w:val="21"/>
              </w:rPr>
            </w:pPr>
          </w:p>
        </w:tc>
      </w:tr>
    </w:tbl>
    <w:p>
      <w:pPr>
        <w:pStyle w:val="5"/>
        <w:numPr>
          <w:ilvl w:val="2"/>
          <w:numId w:val="72"/>
        </w:numPr>
      </w:pPr>
      <w:bookmarkStart w:id="56" w:name="_Toc16588"/>
      <w:r>
        <w:rPr>
          <w:rFonts w:hint="eastAsia"/>
        </w:rPr>
        <w:t>备品备件服务品目</w:t>
      </w:r>
      <w:bookmarkEnd w:id="56"/>
    </w:p>
    <w:p>
      <w:pPr>
        <w:pStyle w:val="11"/>
        <w:numPr>
          <w:ilvl w:val="8"/>
          <w:numId w:val="72"/>
        </w:numPr>
      </w:pPr>
      <w:bookmarkStart w:id="57" w:name="_Toc165045260"/>
      <w:r>
        <w:rPr>
          <w:rFonts w:hint="eastAsia"/>
        </w:rPr>
        <w:t>备品备件服务品目</w:t>
      </w:r>
      <w:bookmarkEnd w:id="57"/>
    </w:p>
    <w:tbl>
      <w:tblPr>
        <w:tblStyle w:val="75"/>
        <w:tblW w:w="9055"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40"/>
        <w:gridCol w:w="3615"/>
        <w:gridCol w:w="760"/>
        <w:gridCol w:w="760"/>
        <w:gridCol w:w="2880"/>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1040" w:type="dxa"/>
            <w:shd w:val="clear" w:color="auto" w:fill="auto"/>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品目号</w:t>
            </w:r>
          </w:p>
        </w:tc>
        <w:tc>
          <w:tcPr>
            <w:tcW w:w="3615" w:type="dxa"/>
            <w:shd w:val="clear" w:color="auto" w:fill="auto"/>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品目</w:t>
            </w:r>
          </w:p>
        </w:tc>
        <w:tc>
          <w:tcPr>
            <w:tcW w:w="760" w:type="dxa"/>
            <w:shd w:val="clear" w:color="auto" w:fill="auto"/>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单位</w:t>
            </w:r>
          </w:p>
        </w:tc>
        <w:tc>
          <w:tcPr>
            <w:tcW w:w="760" w:type="dxa"/>
            <w:shd w:val="clear" w:color="auto" w:fill="auto"/>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数量</w:t>
            </w:r>
          </w:p>
        </w:tc>
        <w:tc>
          <w:tcPr>
            <w:tcW w:w="2880" w:type="dxa"/>
            <w:shd w:val="clear" w:color="auto" w:fill="auto"/>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655" w:hRule="atLeast"/>
        </w:trPr>
        <w:tc>
          <w:tcPr>
            <w:tcW w:w="104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cs="宋体" w:asciiTheme="majorEastAsia" w:hAnsiTheme="majorEastAsia" w:eastAsiaTheme="majorEastAsia"/>
                <w:b/>
                <w:bCs/>
                <w:kern w:val="0"/>
                <w:sz w:val="21"/>
                <w:szCs w:val="21"/>
              </w:rPr>
              <w:t>2-12</w:t>
            </w:r>
          </w:p>
        </w:tc>
        <w:tc>
          <w:tcPr>
            <w:tcW w:w="3615" w:type="dxa"/>
            <w:shd w:val="clear" w:color="000000" w:fill="DDEBF7"/>
            <w:vAlign w:val="center"/>
          </w:tcPr>
          <w:p>
            <w:pPr>
              <w:widowControl/>
              <w:spacing w:line="360" w:lineRule="exact"/>
              <w:jc w:val="left"/>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备品服务</w:t>
            </w:r>
          </w:p>
        </w:tc>
        <w:tc>
          <w:tcPr>
            <w:tcW w:w="76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项</w:t>
            </w:r>
          </w:p>
        </w:tc>
        <w:tc>
          <w:tcPr>
            <w:tcW w:w="76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1　</w:t>
            </w:r>
          </w:p>
        </w:tc>
        <w:tc>
          <w:tcPr>
            <w:tcW w:w="2880" w:type="dxa"/>
            <w:shd w:val="clear" w:color="000000" w:fill="DDEBF7"/>
            <w:vAlign w:val="center"/>
          </w:tcPr>
          <w:p>
            <w:pPr>
              <w:widowControl/>
              <w:spacing w:line="360" w:lineRule="exact"/>
              <w:jc w:val="left"/>
              <w:rPr>
                <w:rFonts w:cs="宋体" w:asciiTheme="majorEastAsia" w:hAnsiTheme="majorEastAsia" w:eastAsiaTheme="majorEastAsia"/>
                <w:kern w:val="0"/>
                <w:sz w:val="21"/>
                <w:szCs w:val="21"/>
              </w:rPr>
            </w:pPr>
            <w:r>
              <w:rPr>
                <w:rFonts w:hint="eastAsia" w:hAnsi="宋体" w:cs="宋体"/>
                <w:b/>
                <w:bCs/>
                <w:kern w:val="0"/>
                <w:sz w:val="21"/>
                <w:szCs w:val="21"/>
              </w:rPr>
              <w:t>详细技术要求见第4.3.4.1章“备品服务”</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cs="宋体" w:asciiTheme="majorEastAsia" w:hAnsiTheme="majorEastAsia" w:eastAsiaTheme="majorEastAsia"/>
                <w:b/>
                <w:bCs/>
                <w:kern w:val="0"/>
                <w:sz w:val="21"/>
                <w:szCs w:val="21"/>
              </w:rPr>
              <w:t>2-1</w:t>
            </w:r>
            <w:r>
              <w:rPr>
                <w:rFonts w:hint="eastAsia" w:cs="宋体" w:asciiTheme="majorEastAsia" w:hAnsiTheme="majorEastAsia" w:eastAsiaTheme="majorEastAsia"/>
                <w:b/>
                <w:bCs/>
                <w:kern w:val="0"/>
                <w:sz w:val="21"/>
                <w:szCs w:val="21"/>
              </w:rPr>
              <w:t>3</w:t>
            </w:r>
          </w:p>
        </w:tc>
        <w:tc>
          <w:tcPr>
            <w:tcW w:w="3615" w:type="dxa"/>
            <w:shd w:val="clear" w:color="000000" w:fill="DDEBF7"/>
            <w:vAlign w:val="center"/>
          </w:tcPr>
          <w:p>
            <w:pPr>
              <w:widowControl/>
              <w:spacing w:line="360" w:lineRule="exact"/>
              <w:jc w:val="left"/>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备件服务</w:t>
            </w:r>
          </w:p>
        </w:tc>
        <w:tc>
          <w:tcPr>
            <w:tcW w:w="76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项</w:t>
            </w:r>
          </w:p>
        </w:tc>
        <w:tc>
          <w:tcPr>
            <w:tcW w:w="760" w:type="dxa"/>
            <w:shd w:val="clear" w:color="000000" w:fill="DDEBF7"/>
            <w:vAlign w:val="center"/>
          </w:tcPr>
          <w:p>
            <w:pPr>
              <w:widowControl/>
              <w:spacing w:line="360" w:lineRule="exact"/>
              <w:jc w:val="center"/>
              <w:rPr>
                <w:rFonts w:cs="宋体" w:asciiTheme="majorEastAsia" w:hAnsiTheme="majorEastAsia" w:eastAsiaTheme="majorEastAsia"/>
                <w:b/>
                <w:bCs/>
                <w:kern w:val="0"/>
                <w:sz w:val="21"/>
                <w:szCs w:val="21"/>
              </w:rPr>
            </w:pPr>
            <w:r>
              <w:rPr>
                <w:rFonts w:hint="eastAsia" w:cs="宋体" w:asciiTheme="majorEastAsia" w:hAnsiTheme="majorEastAsia" w:eastAsiaTheme="majorEastAsia"/>
                <w:b/>
                <w:bCs/>
                <w:kern w:val="0"/>
                <w:sz w:val="21"/>
                <w:szCs w:val="21"/>
              </w:rPr>
              <w:t>1　</w:t>
            </w:r>
          </w:p>
        </w:tc>
        <w:tc>
          <w:tcPr>
            <w:tcW w:w="2880" w:type="dxa"/>
            <w:shd w:val="clear" w:color="000000" w:fill="DDEBF7"/>
            <w:vAlign w:val="center"/>
          </w:tcPr>
          <w:p>
            <w:pPr>
              <w:widowControl/>
              <w:spacing w:line="360" w:lineRule="exact"/>
              <w:jc w:val="left"/>
              <w:rPr>
                <w:rFonts w:cs="宋体" w:asciiTheme="majorEastAsia" w:hAnsiTheme="majorEastAsia" w:eastAsiaTheme="majorEastAsia"/>
                <w:kern w:val="0"/>
                <w:sz w:val="21"/>
                <w:szCs w:val="21"/>
              </w:rPr>
            </w:pPr>
            <w:r>
              <w:rPr>
                <w:rFonts w:hint="eastAsia" w:hAnsi="宋体" w:cs="宋体"/>
                <w:b/>
                <w:bCs/>
                <w:kern w:val="0"/>
                <w:sz w:val="21"/>
                <w:szCs w:val="21"/>
              </w:rPr>
              <w:t>详细技术要求见第4.3.4.2章“备件服务”</w:t>
            </w:r>
          </w:p>
        </w:tc>
      </w:tr>
    </w:tbl>
    <w:p>
      <w:pPr>
        <w:ind w:firstLine="480" w:firstLineChars="200"/>
        <w:rPr>
          <w:rFonts w:hAnsi="宋体" w:cs="Arial"/>
        </w:rPr>
      </w:pPr>
    </w:p>
    <w:p>
      <w:pPr>
        <w:pStyle w:val="9"/>
        <w:sectPr>
          <w:pgSz w:w="11906" w:h="16838"/>
          <w:pgMar w:top="1418" w:right="1134" w:bottom="1418" w:left="1701" w:header="851" w:footer="992" w:gutter="0"/>
          <w:cols w:space="425" w:num="1"/>
          <w:docGrid w:type="lines" w:linePitch="436" w:charSpace="195"/>
        </w:sectPr>
      </w:pPr>
    </w:p>
    <w:p>
      <w:pPr>
        <w:pStyle w:val="9"/>
        <w:numPr>
          <w:ilvl w:val="6"/>
          <w:numId w:val="72"/>
        </w:numPr>
      </w:pPr>
      <w:bookmarkStart w:id="58" w:name="_Toc18455"/>
      <w:r>
        <w:rPr>
          <w:rFonts w:hint="eastAsia"/>
        </w:rPr>
        <w:t>招标内容及要求</w:t>
      </w:r>
      <w:bookmarkEnd w:id="58"/>
    </w:p>
    <w:p>
      <w:pPr>
        <w:pStyle w:val="3"/>
        <w:numPr>
          <w:ilvl w:val="0"/>
          <w:numId w:val="72"/>
        </w:numPr>
        <w:rPr>
          <w:color w:val="auto"/>
        </w:rPr>
      </w:pPr>
    </w:p>
    <w:p>
      <w:pPr>
        <w:pStyle w:val="4"/>
        <w:numPr>
          <w:ilvl w:val="1"/>
          <w:numId w:val="72"/>
        </w:numPr>
      </w:pPr>
      <w:bookmarkStart w:id="59" w:name="_Toc21816"/>
      <w:r>
        <w:rPr>
          <w:rStyle w:val="82"/>
          <w:rFonts w:hint="eastAsia" w:ascii="宋体" w:hAnsi="宋体" w:cs="宋体"/>
          <w:b/>
          <w:sz w:val="21"/>
          <w:szCs w:val="21"/>
        </w:rPr>
        <w:t>★</w:t>
      </w:r>
      <w:r>
        <w:rPr>
          <w:rFonts w:hint="eastAsia"/>
        </w:rPr>
        <w:t>运维服务范围（项号1）</w:t>
      </w:r>
      <w:bookmarkEnd w:id="59"/>
    </w:p>
    <w:p>
      <w:pPr>
        <w:ind w:firstLine="480" w:firstLineChars="200"/>
        <w:rPr>
          <w:rFonts w:hAnsi="宋体" w:cs="Arial"/>
        </w:rPr>
      </w:pPr>
      <w:r>
        <w:rPr>
          <w:rFonts w:hint="eastAsia" w:hAnsi="宋体" w:cs="Arial"/>
        </w:rPr>
        <w:t>数字福建云计算中心(政务云)基础设施运维服务服务范围如下表所示，具体服务内容根据现场实际情况进一步确定。中标方应负责本项目范围内所有基础设施的维护维修及所需的备品备件工作。</w:t>
      </w:r>
    </w:p>
    <w:p>
      <w:pPr>
        <w:pStyle w:val="11"/>
        <w:numPr>
          <w:ilvl w:val="8"/>
          <w:numId w:val="72"/>
        </w:numPr>
      </w:pPr>
      <w:bookmarkStart w:id="60" w:name="_Toc165045261"/>
      <w:r>
        <w:rPr>
          <w:rFonts w:hint="eastAsia"/>
        </w:rPr>
        <w:t>云计算中心基础设施运维服务范围要求</w:t>
      </w:r>
      <w:bookmarkEnd w:id="60"/>
    </w:p>
    <w:tbl>
      <w:tblPr>
        <w:tblStyle w:val="75"/>
        <w:tblW w:w="9049" w:type="dxa"/>
        <w:tblInd w:w="0" w:type="dxa"/>
        <w:tblLayout w:type="autofit"/>
        <w:tblCellMar>
          <w:top w:w="0" w:type="dxa"/>
          <w:left w:w="108" w:type="dxa"/>
          <w:bottom w:w="0" w:type="dxa"/>
          <w:right w:w="108" w:type="dxa"/>
        </w:tblCellMar>
      </w:tblPr>
      <w:tblGrid>
        <w:gridCol w:w="820"/>
        <w:gridCol w:w="1940"/>
        <w:gridCol w:w="6289"/>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94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项目名称</w:t>
            </w:r>
          </w:p>
        </w:tc>
        <w:tc>
          <w:tcPr>
            <w:tcW w:w="6289"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服务范围要求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94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场地范围</w:t>
            </w: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包括但不限于章节2.3.1云计算中心总体平面布局规划所描述的场地范围</w:t>
            </w:r>
          </w:p>
        </w:tc>
      </w:tr>
      <w:t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94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系统范围</w:t>
            </w: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包括但不限于章节“2.3数字福建云计算中心(政务云)基础设施现状”描述的机房设备和系统</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94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时间范围</w:t>
            </w: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运维服务期限1年</w:t>
            </w:r>
          </w:p>
        </w:tc>
      </w:tr>
      <w:tr>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940"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内容范围</w:t>
            </w: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1、基础运维团队服务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日常监控巡检服务：值班监控服务(7×24小时)、日常巡检服务</w:t>
            </w:r>
          </w:p>
        </w:tc>
      </w:tr>
      <w:tr>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技术支撑保障服务：预防性维护服务、故障处理服务、应急响应服务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运维管理服务：运维服务体系优化完善服务、综合管理服务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2、运维技术服务及相关备件耗材</w:t>
            </w:r>
          </w:p>
        </w:tc>
      </w:tr>
      <w:tr>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维修维护服务：包括但不限于机柜维修维护、通风空调系统设备维修维护、电气系统设备维修维护、智能化系统维修维护、消防系统维修维护</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检测及测评服务：防雷检测服务、消防检测服务、安全测评服务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改造提升服务：硬件设施改造提升服务、运维系统优化提升服务、综合能力提升服务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94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289"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备品备件服务：包括但不限于机柜备品备件、通风空调备品备件、电气系统备品备件、智能化系统备品备件、消防系统备品备件等实际维修所需备品、备件</w:t>
            </w:r>
          </w:p>
        </w:tc>
      </w:tr>
    </w:tbl>
    <w:p>
      <w:pPr>
        <w:pStyle w:val="4"/>
        <w:numPr>
          <w:ilvl w:val="1"/>
          <w:numId w:val="72"/>
        </w:numPr>
      </w:pPr>
      <w:bookmarkStart w:id="61" w:name="_Toc23082"/>
      <w:r>
        <w:rPr>
          <w:rFonts w:hint="eastAsia"/>
        </w:rPr>
        <w:t>基础运维团队服务要求</w:t>
      </w:r>
      <w:bookmarkEnd w:id="61"/>
    </w:p>
    <w:p>
      <w:pPr>
        <w:pStyle w:val="5"/>
        <w:numPr>
          <w:ilvl w:val="2"/>
          <w:numId w:val="72"/>
        </w:numPr>
      </w:pPr>
      <w:bookmarkStart w:id="62" w:name="_Toc9091"/>
      <w:r>
        <w:rPr>
          <w:rStyle w:val="82"/>
          <w:rFonts w:hint="eastAsia" w:ascii="宋体" w:hAnsi="宋体" w:cs="宋体"/>
          <w:b/>
          <w:sz w:val="21"/>
          <w:szCs w:val="21"/>
        </w:rPr>
        <w:t>★</w:t>
      </w:r>
      <w:r>
        <w:rPr>
          <w:rFonts w:hint="eastAsia"/>
        </w:rPr>
        <w:t>服务总体要求（项号2）</w:t>
      </w:r>
      <w:bookmarkEnd w:id="62"/>
    </w:p>
    <w:p>
      <w:pPr>
        <w:pStyle w:val="6"/>
        <w:numPr>
          <w:ilvl w:val="3"/>
          <w:numId w:val="72"/>
        </w:numPr>
        <w:rPr>
          <w:color w:val="auto"/>
        </w:rPr>
      </w:pPr>
      <w:r>
        <w:rPr>
          <w:rFonts w:hint="eastAsia"/>
          <w:color w:val="auto"/>
        </w:rPr>
        <w:t>日常性维护要求</w:t>
      </w:r>
    </w:p>
    <w:p>
      <w:pPr>
        <w:ind w:firstLine="480" w:firstLineChars="200"/>
        <w:rPr>
          <w:rFonts w:hAnsi="宋体" w:cs="Arial"/>
        </w:rPr>
      </w:pPr>
      <w:r>
        <w:rPr>
          <w:rFonts w:hint="eastAsia" w:hAnsi="宋体" w:cs="Arial"/>
        </w:rPr>
        <w:t>做好现场日常性维护，需包括以下要求：</w:t>
      </w:r>
    </w:p>
    <w:p>
      <w:pPr>
        <w:pStyle w:val="135"/>
        <w:numPr>
          <w:ilvl w:val="0"/>
          <w:numId w:val="78"/>
        </w:numPr>
        <w:ind w:left="0" w:firstLine="420" w:firstLineChars="175"/>
        <w:rPr>
          <w:rFonts w:hAnsi="宋体" w:cs="Arial"/>
        </w:rPr>
      </w:pPr>
      <w:r>
        <w:rPr>
          <w:rFonts w:hint="eastAsia" w:hAnsi="宋体" w:cs="Arial"/>
        </w:rPr>
        <w:t>基础设施设备智能化运行监控系统，确保有专职值班人员执行7*24监控以便于及时发现相关设备运行异常；</w:t>
      </w:r>
    </w:p>
    <w:p>
      <w:pPr>
        <w:pStyle w:val="135"/>
        <w:numPr>
          <w:ilvl w:val="0"/>
          <w:numId w:val="78"/>
        </w:numPr>
        <w:ind w:left="0" w:firstLine="420" w:firstLineChars="175"/>
        <w:rPr>
          <w:rFonts w:hAnsi="宋体" w:cs="Arial"/>
        </w:rPr>
      </w:pPr>
      <w:r>
        <w:rPr>
          <w:rFonts w:hint="eastAsia" w:hAnsi="宋体" w:cs="Arial"/>
        </w:rPr>
        <w:t>除值班人员通过智能化系统实时监控设备运行状态外，还需专职人员执行定期性巡查与核对确保传感器设备正常运行，使用人工方式校验传感器传回数据准确性或处理智能化系统尚无法准确收集和评估的额外信息；</w:t>
      </w:r>
    </w:p>
    <w:p>
      <w:pPr>
        <w:pStyle w:val="135"/>
        <w:numPr>
          <w:ilvl w:val="0"/>
          <w:numId w:val="78"/>
        </w:numPr>
        <w:ind w:left="0" w:firstLine="420" w:firstLineChars="175"/>
        <w:rPr>
          <w:rFonts w:hAnsi="宋体" w:cs="Arial"/>
        </w:rPr>
      </w:pPr>
      <w:r>
        <w:rPr>
          <w:rFonts w:hint="eastAsia" w:hAnsi="宋体" w:cs="Arial"/>
        </w:rPr>
        <w:t>严格操作规范：通过执行标准操作流程、维护操作流程、应急操作流程相应管理制度及规定，规范操作行为，避免人为失误及操作风险；</w:t>
      </w:r>
    </w:p>
    <w:p>
      <w:pPr>
        <w:pStyle w:val="135"/>
        <w:numPr>
          <w:ilvl w:val="0"/>
          <w:numId w:val="78"/>
        </w:numPr>
        <w:ind w:left="0" w:firstLine="420" w:firstLineChars="175"/>
        <w:rPr>
          <w:rFonts w:hAnsi="宋体" w:cs="Arial"/>
        </w:rPr>
      </w:pPr>
      <w:r>
        <w:rPr>
          <w:rFonts w:hint="eastAsia" w:hAnsi="宋体" w:cs="Arial"/>
        </w:rPr>
        <w:t>基础设施运维工作涉及工作内容存在一定的危险性，需按照相关安全生产规定，配置充足的后备人员；既能保证运维对象的实体安全，又能确保运维人员的生产安全。</w:t>
      </w:r>
    </w:p>
    <w:p>
      <w:pPr>
        <w:pStyle w:val="135"/>
        <w:numPr>
          <w:ilvl w:val="0"/>
          <w:numId w:val="78"/>
        </w:numPr>
        <w:ind w:left="0" w:firstLine="420" w:firstLineChars="175"/>
        <w:rPr>
          <w:rFonts w:hAnsi="宋体" w:cs="Arial"/>
        </w:rPr>
      </w:pPr>
      <w:r>
        <w:rPr>
          <w:rFonts w:hint="eastAsia" w:hAnsi="宋体" w:cs="Arial"/>
        </w:rPr>
        <w:t>对本规范书2.3章节数字福建云计算中心机房基础设施现状中所描述的各类机房设备和各类系统，中标方都应将其作为运维服务内容的一部分，并做相应的分工管理、维护配合、系统巡检等工作。</w:t>
      </w:r>
    </w:p>
    <w:p>
      <w:pPr>
        <w:pStyle w:val="6"/>
        <w:numPr>
          <w:ilvl w:val="3"/>
          <w:numId w:val="72"/>
        </w:numPr>
        <w:rPr>
          <w:color w:val="auto"/>
        </w:rPr>
      </w:pPr>
      <w:r>
        <w:rPr>
          <w:rFonts w:hint="eastAsia"/>
          <w:color w:val="auto"/>
        </w:rPr>
        <w:t>应急性维护要求</w:t>
      </w:r>
    </w:p>
    <w:p>
      <w:pPr>
        <w:ind w:firstLine="480" w:firstLineChars="200"/>
        <w:rPr>
          <w:rFonts w:hAnsi="宋体" w:cs="Arial"/>
        </w:rPr>
      </w:pPr>
      <w:r>
        <w:rPr>
          <w:rFonts w:hint="eastAsia" w:hAnsi="宋体" w:cs="Arial"/>
        </w:rPr>
        <w:t>制定应急保障总体预案，做好现场应急性维护，需包括以下要求：</w:t>
      </w:r>
    </w:p>
    <w:p>
      <w:pPr>
        <w:pStyle w:val="135"/>
        <w:numPr>
          <w:ilvl w:val="1"/>
          <w:numId w:val="79"/>
        </w:numPr>
        <w:ind w:left="0" w:firstLine="420" w:firstLineChars="175"/>
        <w:rPr>
          <w:rFonts w:hAnsi="宋体" w:cs="Arial"/>
        </w:rPr>
      </w:pPr>
      <w:r>
        <w:rPr>
          <w:rFonts w:hint="eastAsia" w:hAnsi="宋体" w:cs="Arial"/>
        </w:rPr>
        <w:t>要第一时间发现故障，并做妥善的应急处置；</w:t>
      </w:r>
    </w:p>
    <w:p>
      <w:pPr>
        <w:pStyle w:val="135"/>
        <w:numPr>
          <w:ilvl w:val="1"/>
          <w:numId w:val="79"/>
        </w:numPr>
        <w:ind w:left="0" w:firstLine="420" w:firstLineChars="175"/>
        <w:rPr>
          <w:rFonts w:hAnsi="宋体" w:cs="Arial"/>
        </w:rPr>
      </w:pPr>
      <w:r>
        <w:rPr>
          <w:rFonts w:hint="eastAsia" w:hAnsi="宋体" w:cs="Arial"/>
        </w:rPr>
        <w:t>监控人员应使用现场值班制度，加速事件响应速度，以便于及时处理各类风险故障，降低故障发生率或减少故障损失；</w:t>
      </w:r>
    </w:p>
    <w:p>
      <w:pPr>
        <w:pStyle w:val="135"/>
        <w:numPr>
          <w:ilvl w:val="1"/>
          <w:numId w:val="79"/>
        </w:numPr>
        <w:ind w:left="0" w:firstLine="420" w:firstLineChars="175"/>
        <w:rPr>
          <w:rFonts w:hAnsi="宋体" w:cs="Arial"/>
        </w:rPr>
      </w:pPr>
      <w:r>
        <w:rPr>
          <w:rFonts w:hint="eastAsia" w:hAnsi="宋体" w:cs="Arial"/>
        </w:rPr>
        <w:t>制定各项应急预案，明确应急流程及操作步骤，对应急预案开展风险评估，并组织开展定期演练。</w:t>
      </w:r>
    </w:p>
    <w:p>
      <w:pPr>
        <w:pStyle w:val="6"/>
        <w:numPr>
          <w:ilvl w:val="3"/>
          <w:numId w:val="72"/>
        </w:numPr>
        <w:rPr>
          <w:color w:val="auto"/>
        </w:rPr>
      </w:pPr>
      <w:r>
        <w:rPr>
          <w:rFonts w:hint="eastAsia"/>
          <w:color w:val="auto"/>
        </w:rPr>
        <w:t>预防性维护要求</w:t>
      </w:r>
    </w:p>
    <w:p>
      <w:pPr>
        <w:ind w:firstLine="480" w:firstLineChars="200"/>
        <w:rPr>
          <w:rFonts w:hAnsi="宋体" w:cs="Arial"/>
        </w:rPr>
      </w:pPr>
      <w:r>
        <w:rPr>
          <w:rFonts w:hint="eastAsia" w:hAnsi="宋体" w:cs="Arial"/>
        </w:rPr>
        <w:t>制定预防性维护总体预案，做好预防性维护工作，主要有以下工作需求：</w:t>
      </w:r>
    </w:p>
    <w:p>
      <w:pPr>
        <w:pStyle w:val="135"/>
        <w:numPr>
          <w:ilvl w:val="1"/>
          <w:numId w:val="80"/>
        </w:numPr>
        <w:ind w:left="0" w:firstLine="420" w:firstLineChars="175"/>
        <w:rPr>
          <w:rFonts w:hAnsi="宋体" w:cs="Arial"/>
        </w:rPr>
      </w:pPr>
      <w:r>
        <w:rPr>
          <w:rFonts w:hint="eastAsia" w:hAnsi="宋体" w:cs="Arial"/>
        </w:rPr>
        <w:t>制定预防性维护计划，针对各类设备运行特点，量身定制设备定期保养，预防性检测，预防性维护工作计划。并通过相应管理制度、流程确保计划得以实施。</w:t>
      </w:r>
    </w:p>
    <w:p>
      <w:pPr>
        <w:pStyle w:val="135"/>
        <w:numPr>
          <w:ilvl w:val="1"/>
          <w:numId w:val="80"/>
        </w:numPr>
        <w:ind w:left="0" w:firstLine="420" w:firstLineChars="175"/>
        <w:rPr>
          <w:rFonts w:hAnsi="宋体" w:cs="Arial"/>
        </w:rPr>
      </w:pPr>
      <w:r>
        <w:rPr>
          <w:rFonts w:hint="eastAsia" w:hAnsi="宋体" w:cs="Arial"/>
        </w:rPr>
        <w:t>制定执行标准操作流程、维护操作流程、应急操作流程相应管理制度及规定，并对其进行风险评估。</w:t>
      </w:r>
    </w:p>
    <w:p>
      <w:pPr>
        <w:pStyle w:val="135"/>
        <w:numPr>
          <w:ilvl w:val="1"/>
          <w:numId w:val="80"/>
        </w:numPr>
        <w:ind w:left="0" w:firstLine="420" w:firstLineChars="175"/>
        <w:rPr>
          <w:rFonts w:hAnsi="宋体" w:cs="Arial"/>
        </w:rPr>
      </w:pPr>
      <w:r>
        <w:rPr>
          <w:rFonts w:hint="eastAsia" w:hAnsi="宋体" w:cs="Arial"/>
        </w:rPr>
        <w:t>根据预防性维护需求，梳理相应流程、角色、职责，以及所需掌握的专业技能，并根据技能需求制定人员培训计划，确保人员满足岗位技能需求。</w:t>
      </w:r>
    </w:p>
    <w:p>
      <w:pPr>
        <w:pStyle w:val="6"/>
        <w:numPr>
          <w:ilvl w:val="3"/>
          <w:numId w:val="72"/>
        </w:numPr>
        <w:rPr>
          <w:color w:val="auto"/>
        </w:rPr>
      </w:pPr>
      <w:r>
        <w:rPr>
          <w:rFonts w:hint="eastAsia"/>
          <w:color w:val="auto"/>
        </w:rPr>
        <w:t>管理资料维护要求</w:t>
      </w:r>
    </w:p>
    <w:p>
      <w:pPr>
        <w:ind w:firstLine="480" w:firstLineChars="200"/>
        <w:rPr>
          <w:rFonts w:hAnsi="宋体" w:cs="Arial"/>
        </w:rPr>
      </w:pPr>
      <w:r>
        <w:rPr>
          <w:rFonts w:hint="eastAsia" w:hAnsi="宋体" w:cs="Arial"/>
        </w:rPr>
        <w:t>做好各项管理资料的及时更新、保存工作。</w:t>
      </w:r>
    </w:p>
    <w:p>
      <w:pPr>
        <w:pStyle w:val="6"/>
        <w:numPr>
          <w:ilvl w:val="3"/>
          <w:numId w:val="72"/>
        </w:numPr>
        <w:rPr>
          <w:color w:val="auto"/>
        </w:rPr>
      </w:pPr>
      <w:r>
        <w:rPr>
          <w:rFonts w:hint="eastAsia"/>
          <w:color w:val="auto"/>
        </w:rPr>
        <w:t>关键服务事项要求</w:t>
      </w:r>
    </w:p>
    <w:p>
      <w:pPr>
        <w:ind w:firstLine="480" w:firstLineChars="200"/>
        <w:rPr>
          <w:rFonts w:hAnsi="宋体" w:cs="Arial"/>
        </w:rPr>
      </w:pPr>
      <w:r>
        <w:rPr>
          <w:rFonts w:hint="eastAsia" w:hAnsi="宋体" w:cs="Arial"/>
        </w:rPr>
        <w:t>云计算中心基础设施运维关键服务事项要求</w:t>
      </w:r>
    </w:p>
    <w:p>
      <w:pPr>
        <w:pStyle w:val="11"/>
        <w:numPr>
          <w:ilvl w:val="8"/>
          <w:numId w:val="72"/>
        </w:numPr>
      </w:pPr>
      <w:bookmarkStart w:id="63" w:name="_Toc165045262"/>
      <w:r>
        <w:rPr>
          <w:rFonts w:hint="eastAsia"/>
        </w:rPr>
        <w:t>云计算中心基础设施运维关键服务事项要求</w:t>
      </w:r>
      <w:bookmarkEnd w:id="63"/>
    </w:p>
    <w:tbl>
      <w:tblPr>
        <w:tblStyle w:val="75"/>
        <w:tblW w:w="9049" w:type="dxa"/>
        <w:tblInd w:w="0" w:type="dxa"/>
        <w:tblLayout w:type="autofit"/>
        <w:tblCellMar>
          <w:top w:w="0" w:type="dxa"/>
          <w:left w:w="108" w:type="dxa"/>
          <w:bottom w:w="0" w:type="dxa"/>
          <w:right w:w="108" w:type="dxa"/>
        </w:tblCellMar>
      </w:tblPr>
      <w:tblGrid>
        <w:gridCol w:w="820"/>
        <w:gridCol w:w="1800"/>
        <w:gridCol w:w="6429"/>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服务事项</w:t>
            </w:r>
          </w:p>
        </w:tc>
        <w:tc>
          <w:tcPr>
            <w:tcW w:w="6429"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服务内容描述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制定基础设施维护工作内容</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运行方案制定</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制定配电系统运行方案，包括：双路市电使用容量分配、UPS负载分配、机柜用电分配和限制；</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制定空调系统运行方案，包括：空调运行参数的设定、开启数量等。</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维护方案制定</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制定年度维护计划，结合设备厂商维保合同制定设备检查、保养周期表；</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制定维护内容；</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制定设备检查、保养操作规程；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确定维护耗材。</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维修应急方案制定</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制定应急方案；</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制定紧急故障处理流程；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协助业主设备续保；</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故障维修的响应时间；</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技术资料收集与整理归档</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大厦建筑竣工蓝图；</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机房竣工图纸；</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设备操用手册；</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供应商联系电话；</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物业联系电话。</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机房基础设施日常维护</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供配电系统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配合供电部门停电检查；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高低压配电柜与配电箱的一次接线和二次接线接点温度检查；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机房防雷接地电阻检查；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机房所有照明灯具、供用电器的检查；</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UPS主机的检查；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UPS主机的运行参数检查；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检查UPS主机主板电源风扇。</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蓄电池</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配合厂商清理UPS蓄电池卫生；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检查蓄电池内阻和浮充电压；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配合厂商UPS蓄电池放电测试。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发电机维护</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配合维护、演练、带载测试等工作。</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精密空调系统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检查记录机房空调主机运行状态；</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更换机房空调内机空气过滤网；</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检查机房空调主机电路系统；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检查空调内风机 ；</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检查空调气路压力；</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检查加湿机电路系统。</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冷机运行状态与调节；</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水泵系统运行状态与调节；</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板换季节性操作与运维检查；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冷却水塔检查等；</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储水、蓄冷系统的检查与养护；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软化水、除垢系统运行维护；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相关配套电气系统的养护与检查；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所有阀门、仪表的养护与检查。</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新风机</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每天开启新风机运行；</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新风机空气过滤网进行检查；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检查新风机电路系统；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检查新风机皮带。</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门禁控制器性能检测；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联动测试；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门禁服务器数据备份；</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控制线路整理；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电源系统检测。</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给排水系统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供水硬度、盐度和导电率测试；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软水器还原；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物理除垢系统的维护保养。</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视频监控系统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监控摄像机除尘；</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摄像机清晰度调整；</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录像设备检查；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监控线路整理，检测；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电源系统检测；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监控系统维护。</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环境监控系统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温湿度探测器效验；</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干结点设备检查；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通讯设备检查；</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报警设备性能测试；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漏水系统检查与测试；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环境采集模块的检查与测试；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气体检测系统的检查与测试；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柴油泄露系统的检查与测试；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配合厂商日常维护保养。</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消防电气系统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所有探测器的检查与测试；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电气接口（消防电话、警铃、警灯等等）系统检查与测试；</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配合厂商日常维护保养。</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气体灭火系统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钢瓶检查与养护；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控制主机的检查与养护；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外围配套设备的养护；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所有手持消防器材的养护保养；</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配合厂商日常维护保养。</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消防自动喷水灭火系统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消防水池及消防水箱检查与养护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水泵和稳压泵组件检查与养护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气压给水装置组件检查与养护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报警阀、雨淋阀、警铃检查与养护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水泵接合器、延迟器检查与养护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供水总控制阀检查与养护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水流指示器检查与养护</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系统管网的管材管件外观及组件完整性检查</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空调监控系统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空调监测数据效验；</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通讯模块检测；</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通讯线路整理、检查。</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机房环境</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基础设施设备清洁；</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机房环境清洁。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机房设施、环境紧急事件处理</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机柜断电处理；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蓄电池故障处理；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发电机故障处理；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配电柜故障处理；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电缆故障处理。</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环境温度超限处理；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环境湿度超限处理；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机房空调故障处理；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机房漏水处理；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冷机故障处理；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水泵故障处理；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水塔故障处理；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阀门故障处理；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水管开裂处理。</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消防系统</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火灾报警处理；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灭火系统故障处理。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应急演练</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故障处置演练</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配电系统故障处置应急演练</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空调系统（包括制冷系统）故障处置应急演练</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消控系统故障处置应急演练</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安全措施演练</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火灾报警处置演练</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紧急事件人员疏散演练</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五</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节能</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节能举措</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制定合理的机房温度湿度控制指标；</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空调运转台数与热负荷相匹配；</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采用冷热通道或封闭冷热通道，未安装设备的U位加装盲板；</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变频调整控制；</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调节空调出风口位置、风速、风量；</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减小风阻，降低空调除湿量。</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000000" w:fill="D9E1F2"/>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六</w:t>
            </w:r>
          </w:p>
        </w:tc>
        <w:tc>
          <w:tcPr>
            <w:tcW w:w="1800" w:type="dxa"/>
            <w:tcBorders>
              <w:top w:val="nil"/>
              <w:left w:val="nil"/>
              <w:bottom w:val="single" w:color="auto" w:sz="4" w:space="0"/>
              <w:right w:val="single" w:color="auto" w:sz="4" w:space="0"/>
            </w:tcBorders>
            <w:shd w:val="clear" w:color="000000" w:fill="D9E1F2"/>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安全管理</w:t>
            </w:r>
          </w:p>
        </w:tc>
        <w:tc>
          <w:tcPr>
            <w:tcW w:w="6429" w:type="dxa"/>
            <w:tcBorders>
              <w:top w:val="nil"/>
              <w:left w:val="nil"/>
              <w:bottom w:val="single" w:color="auto" w:sz="4" w:space="0"/>
              <w:right w:val="double" w:color="auto" w:sz="6" w:space="0"/>
            </w:tcBorders>
            <w:shd w:val="clear" w:color="000000" w:fill="D9E1F2"/>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　</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00"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安全管理措施</w:t>
            </w: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门禁安全管理</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视频监控管理</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机房消防设备管理</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0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6429"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机房保安管理</w:t>
            </w:r>
          </w:p>
        </w:tc>
      </w:tr>
    </w:tbl>
    <w:p>
      <w:pPr>
        <w:pStyle w:val="5"/>
        <w:numPr>
          <w:ilvl w:val="2"/>
          <w:numId w:val="72"/>
        </w:numPr>
      </w:pPr>
      <w:bookmarkStart w:id="64" w:name="_Toc26458"/>
      <w:r>
        <w:rPr>
          <w:rFonts w:hint="eastAsia"/>
        </w:rPr>
        <w:t>服务人员要求（项号</w:t>
      </w:r>
      <w:r>
        <w:t>3</w:t>
      </w:r>
      <w:r>
        <w:rPr>
          <w:rFonts w:hint="eastAsia"/>
        </w:rPr>
        <w:t>）</w:t>
      </w:r>
      <w:bookmarkEnd w:id="64"/>
    </w:p>
    <w:p>
      <w:pPr>
        <w:pStyle w:val="6"/>
        <w:numPr>
          <w:ilvl w:val="3"/>
          <w:numId w:val="72"/>
        </w:numPr>
        <w:rPr>
          <w:color w:val="auto"/>
        </w:rPr>
      </w:pPr>
      <w:r>
        <w:rPr>
          <w:rFonts w:hint="eastAsia"/>
          <w:color w:val="auto"/>
        </w:rPr>
        <w:t>运维团队总体要求</w:t>
      </w:r>
    </w:p>
    <w:p>
      <w:pPr>
        <w:ind w:firstLine="480" w:firstLineChars="200"/>
        <w:rPr>
          <w:rFonts w:hAnsi="宋体" w:cs="Arial"/>
        </w:rPr>
      </w:pPr>
      <w:r>
        <w:rPr>
          <w:rFonts w:hint="eastAsia" w:hAnsi="宋体" w:cs="Arial"/>
        </w:rPr>
        <w:t>根据上述三个方面运维服务内容要求的工作性质、工作量和技能需求，拟组建3个独立团队执行上述工作。</w:t>
      </w:r>
    </w:p>
    <w:p>
      <w:pPr>
        <w:ind w:firstLine="420" w:firstLineChars="175"/>
        <w:rPr>
          <w:rFonts w:hAnsi="宋体" w:cs="Arial"/>
        </w:rPr>
      </w:pPr>
      <w:r>
        <w:rPr>
          <w:rFonts w:hint="eastAsia" w:hAnsi="宋体" w:cs="Arial"/>
        </w:rPr>
        <w:t>（1）日常监控巡检团队</w:t>
      </w:r>
    </w:p>
    <w:p>
      <w:pPr>
        <w:ind w:firstLine="480" w:firstLineChars="200"/>
        <w:rPr>
          <w:rFonts w:hAnsi="宋体" w:cs="Arial"/>
        </w:rPr>
      </w:pPr>
      <w:r>
        <w:rPr>
          <w:rFonts w:hint="eastAsia" w:hAnsi="宋体" w:cs="Arial"/>
        </w:rPr>
        <w:t>负责机房基础设施7*24小时值班和系统监控，现场故障应急处理，故障反馈，事件闭环。</w:t>
      </w:r>
    </w:p>
    <w:p>
      <w:pPr>
        <w:ind w:firstLine="420" w:firstLineChars="175"/>
        <w:rPr>
          <w:rFonts w:hAnsi="宋体" w:cs="Arial"/>
        </w:rPr>
      </w:pPr>
      <w:r>
        <w:rPr>
          <w:rFonts w:hint="eastAsia" w:hAnsi="宋体" w:cs="Arial"/>
        </w:rPr>
        <w:t>（2）技术支撑团队：</w:t>
      </w:r>
    </w:p>
    <w:p>
      <w:pPr>
        <w:ind w:firstLine="480" w:firstLineChars="200"/>
        <w:rPr>
          <w:rFonts w:hAnsi="宋体" w:cs="Arial"/>
        </w:rPr>
      </w:pPr>
      <w:r>
        <w:rPr>
          <w:rFonts w:hint="eastAsia" w:hAnsi="宋体" w:cs="Arial"/>
        </w:rPr>
        <w:t>日常基础设施维护：根据数据中心基础设施特点，对电气、通风空调、智能化及消防四个专业提供专业级技术支持。量身定制相关设备的保养计划、维修计划及相应的操作流程。负责对设备故障分析，维修方案评审，负责技术改进方案制定及实施。</w:t>
      </w:r>
    </w:p>
    <w:p>
      <w:pPr>
        <w:ind w:firstLine="480" w:firstLineChars="200"/>
        <w:rPr>
          <w:rFonts w:hAnsi="宋体" w:cs="Arial"/>
        </w:rPr>
      </w:pPr>
      <w:r>
        <w:rPr>
          <w:rFonts w:hint="eastAsia" w:hAnsi="宋体" w:cs="Arial"/>
        </w:rPr>
        <w:t>网络管理：主要涉及机房基础设施相关的运维服务网络管理，包括向服务提供商采购相关网络运维人员和服务，负责基础设施相关的运维网络、大楼办公网络等管理及优化工作。并根据运维需要配合政务云、业务网络、托管IT设施等其它运维服务队伍，做好分工边界和协作。</w:t>
      </w:r>
    </w:p>
    <w:p>
      <w:pPr>
        <w:ind w:firstLine="420" w:firstLineChars="175"/>
        <w:rPr>
          <w:rFonts w:hAnsi="宋体" w:cs="Arial"/>
        </w:rPr>
      </w:pPr>
      <w:r>
        <w:rPr>
          <w:rFonts w:hint="eastAsia" w:hAnsi="宋体" w:cs="Arial"/>
        </w:rPr>
        <w:t>（3）运维管理团队</w:t>
      </w:r>
    </w:p>
    <w:p>
      <w:pPr>
        <w:ind w:firstLine="480" w:firstLineChars="200"/>
        <w:rPr>
          <w:rFonts w:hAnsi="宋体" w:cs="Arial"/>
        </w:rPr>
      </w:pPr>
      <w:r>
        <w:rPr>
          <w:rFonts w:hint="eastAsia" w:hAnsi="宋体" w:cs="Arial"/>
        </w:rPr>
        <w:t>完善优化运维管理制度、体系建设，组织开展人员定期培训、应急演练，组织风险排查，协助管理单位开展相关专项工作。</w:t>
      </w:r>
    </w:p>
    <w:p>
      <w:pPr>
        <w:pStyle w:val="6"/>
        <w:numPr>
          <w:ilvl w:val="3"/>
          <w:numId w:val="72"/>
        </w:numPr>
        <w:rPr>
          <w:color w:val="auto"/>
        </w:rPr>
      </w:pPr>
      <w:r>
        <w:rPr>
          <w:rFonts w:hint="eastAsia"/>
          <w:color w:val="auto"/>
        </w:rPr>
        <w:t>运维人员要求</w:t>
      </w:r>
    </w:p>
    <w:p>
      <w:pPr>
        <w:pStyle w:val="7"/>
        <w:numPr>
          <w:ilvl w:val="4"/>
          <w:numId w:val="72"/>
        </w:numPr>
      </w:pPr>
      <w:r>
        <w:rPr>
          <w:rFonts w:hint="eastAsia"/>
        </w:rPr>
        <w:t>人员总体要求</w:t>
      </w:r>
    </w:p>
    <w:p>
      <w:pPr>
        <w:ind w:firstLine="480" w:firstLineChars="200"/>
        <w:rPr>
          <w:rFonts w:hAnsi="宋体" w:cs="Arial"/>
        </w:rPr>
      </w:pPr>
      <w:r>
        <w:rPr>
          <w:rFonts w:hint="eastAsia" w:hAnsi="宋体" w:cs="Arial"/>
        </w:rPr>
        <w:t>中标方应根据云计算中心基础设施实际建立完善的运维管理组织，组织架构清晰，人员分工明确，配备电气、通风空调、消防、智能化等各个专业专职技术和管理人员，承担云计算中心机房、消防、电气、网络等安全职责。配备的所有运维人员须满足如下基本要求：</w:t>
      </w:r>
    </w:p>
    <w:p>
      <w:pPr>
        <w:pStyle w:val="135"/>
        <w:numPr>
          <w:ilvl w:val="2"/>
          <w:numId w:val="81"/>
        </w:numPr>
        <w:spacing w:before="120"/>
        <w:ind w:left="0" w:firstLine="482"/>
        <w:rPr>
          <w:rFonts w:hAnsi="宋体" w:cs="Arial"/>
          <w:b/>
          <w:bCs/>
        </w:rPr>
      </w:pPr>
      <w:r>
        <w:rPr>
          <w:rFonts w:hint="eastAsia" w:hAnsi="宋体" w:cs="Arial"/>
          <w:b/>
          <w:bCs/>
        </w:rPr>
        <w:t>须具备的基础要求：</w:t>
      </w:r>
    </w:p>
    <w:p>
      <w:pPr>
        <w:pStyle w:val="135"/>
        <w:numPr>
          <w:ilvl w:val="1"/>
          <w:numId w:val="82"/>
        </w:numPr>
        <w:ind w:left="0" w:firstLine="420" w:firstLineChars="175"/>
        <w:rPr>
          <w:rFonts w:hAnsi="宋体" w:cs="Arial"/>
        </w:rPr>
      </w:pPr>
      <w:r>
        <w:rPr>
          <w:rFonts w:hint="eastAsia" w:hAnsi="宋体" w:cs="Arial"/>
        </w:rPr>
        <w:t>能够识别运维服务业务所需要的基础知识，并采取措施使运维服务主要人员能够具备这些知识。</w:t>
      </w:r>
    </w:p>
    <w:p>
      <w:pPr>
        <w:pStyle w:val="135"/>
        <w:numPr>
          <w:ilvl w:val="1"/>
          <w:numId w:val="82"/>
        </w:numPr>
        <w:ind w:left="0" w:firstLine="420" w:firstLineChars="175"/>
        <w:rPr>
          <w:rFonts w:hAnsi="宋体" w:cs="Arial"/>
        </w:rPr>
      </w:pPr>
      <w:r>
        <w:rPr>
          <w:rFonts w:hint="eastAsia" w:hAnsi="宋体" w:cs="Arial"/>
        </w:rPr>
        <w:t>建立运维相关的知识体系或培训课程体系，包括运维基础、针对运维对象的专业知识与行业知识，其中须具备相关知识的证明文件或专业认证证书；</w:t>
      </w:r>
    </w:p>
    <w:p>
      <w:pPr>
        <w:pStyle w:val="135"/>
        <w:numPr>
          <w:ilvl w:val="1"/>
          <w:numId w:val="82"/>
        </w:numPr>
        <w:ind w:left="0" w:firstLine="420" w:firstLineChars="175"/>
        <w:rPr>
          <w:rFonts w:hAnsi="宋体" w:cs="Arial"/>
        </w:rPr>
      </w:pPr>
      <w:r>
        <w:rPr>
          <w:rFonts w:hint="eastAsia" w:hAnsi="宋体" w:cs="Arial"/>
        </w:rPr>
        <w:t>知识体系应对不同类别和级别的岗位提出相应的知识要求，同时要符合要求的人员数量。</w:t>
      </w:r>
    </w:p>
    <w:p>
      <w:pPr>
        <w:pStyle w:val="135"/>
        <w:numPr>
          <w:ilvl w:val="2"/>
          <w:numId w:val="81"/>
        </w:numPr>
        <w:spacing w:before="120"/>
        <w:ind w:left="0" w:firstLine="482"/>
        <w:rPr>
          <w:rFonts w:hAnsi="宋体" w:cs="Arial"/>
          <w:b/>
          <w:bCs/>
        </w:rPr>
      </w:pPr>
      <w:r>
        <w:rPr>
          <w:rFonts w:hint="eastAsia" w:hAnsi="宋体" w:cs="Arial"/>
          <w:b/>
          <w:bCs/>
        </w:rPr>
        <w:t>须具备的专业知识要求：</w:t>
      </w:r>
    </w:p>
    <w:p>
      <w:pPr>
        <w:pStyle w:val="135"/>
        <w:numPr>
          <w:ilvl w:val="1"/>
          <w:numId w:val="83"/>
        </w:numPr>
        <w:ind w:left="0" w:firstLine="420" w:firstLineChars="175"/>
        <w:rPr>
          <w:rFonts w:hAnsi="宋体" w:cs="Arial"/>
        </w:rPr>
      </w:pPr>
      <w:r>
        <w:rPr>
          <w:rFonts w:hint="eastAsia" w:hAnsi="宋体" w:cs="Arial"/>
        </w:rPr>
        <w:t>能够识别运维服务业务所需要的专业知识，并采取措施使运维服务主要人员能够具备这些知识；</w:t>
      </w:r>
    </w:p>
    <w:p>
      <w:pPr>
        <w:pStyle w:val="135"/>
        <w:numPr>
          <w:ilvl w:val="1"/>
          <w:numId w:val="83"/>
        </w:numPr>
        <w:ind w:left="0" w:firstLine="420" w:firstLineChars="175"/>
        <w:rPr>
          <w:rFonts w:hAnsi="宋体" w:cs="Arial"/>
        </w:rPr>
      </w:pPr>
      <w:r>
        <w:rPr>
          <w:rFonts w:hint="eastAsia" w:hAnsi="宋体" w:cs="Arial"/>
        </w:rPr>
        <w:t>建立运维相关的知识体系或培训课程体系，包括运维基础、针对运维对象的专业知识与行业知识，其中须具备相关知识的证明文件或专业认证证书；</w:t>
      </w:r>
    </w:p>
    <w:p>
      <w:pPr>
        <w:pStyle w:val="135"/>
        <w:numPr>
          <w:ilvl w:val="1"/>
          <w:numId w:val="83"/>
        </w:numPr>
        <w:ind w:left="0" w:firstLine="420" w:firstLineChars="175"/>
        <w:rPr>
          <w:rFonts w:hAnsi="宋体" w:cs="Arial"/>
        </w:rPr>
      </w:pPr>
      <w:r>
        <w:rPr>
          <w:rFonts w:hint="eastAsia" w:hAnsi="宋体" w:cs="Arial"/>
        </w:rPr>
        <w:t>知识体系应对不同类别和级别的岗位提出相应的知识要求，同时要符合要求的人员数量。</w:t>
      </w:r>
    </w:p>
    <w:p>
      <w:pPr>
        <w:pStyle w:val="135"/>
        <w:numPr>
          <w:ilvl w:val="2"/>
          <w:numId w:val="81"/>
        </w:numPr>
        <w:spacing w:before="120"/>
        <w:ind w:left="0" w:firstLine="482"/>
        <w:rPr>
          <w:rFonts w:hAnsi="宋体" w:cs="Arial"/>
          <w:b/>
          <w:bCs/>
        </w:rPr>
      </w:pPr>
      <w:r>
        <w:rPr>
          <w:rFonts w:hint="eastAsia" w:hAnsi="宋体" w:cs="Arial"/>
          <w:b/>
          <w:bCs/>
        </w:rPr>
        <w:tab/>
      </w:r>
      <w:r>
        <w:rPr>
          <w:rFonts w:hint="eastAsia" w:hAnsi="宋体" w:cs="Arial"/>
          <w:b/>
          <w:bCs/>
        </w:rPr>
        <w:t>须具备的综合知识要求：</w:t>
      </w:r>
    </w:p>
    <w:p>
      <w:pPr>
        <w:pStyle w:val="135"/>
        <w:numPr>
          <w:ilvl w:val="1"/>
          <w:numId w:val="84"/>
        </w:numPr>
        <w:ind w:left="0" w:firstLine="420" w:firstLineChars="175"/>
        <w:rPr>
          <w:rFonts w:hAnsi="宋体" w:cs="Arial"/>
        </w:rPr>
      </w:pPr>
      <w:r>
        <w:rPr>
          <w:rFonts w:hint="eastAsia" w:hAnsi="宋体" w:cs="Arial"/>
        </w:rPr>
        <w:t>能够识别运维服务业务所需要的综合知识，并采取措施使运维服务主要人员能够具备这些知识；</w:t>
      </w:r>
    </w:p>
    <w:p>
      <w:pPr>
        <w:pStyle w:val="135"/>
        <w:numPr>
          <w:ilvl w:val="1"/>
          <w:numId w:val="84"/>
        </w:numPr>
        <w:ind w:left="0" w:firstLine="420" w:firstLineChars="175"/>
        <w:rPr>
          <w:rFonts w:hAnsi="宋体" w:cs="Arial"/>
        </w:rPr>
      </w:pPr>
      <w:r>
        <w:rPr>
          <w:rFonts w:hint="eastAsia" w:hAnsi="宋体" w:cs="Arial"/>
        </w:rPr>
        <w:t>建立运维相关的知识体系或培训课程体系，包括运维基础、针对运维对象的专业知识与行业知识，其中须具备相关知识的证明文件或专业认证证书；</w:t>
      </w:r>
    </w:p>
    <w:p>
      <w:pPr>
        <w:pStyle w:val="135"/>
        <w:numPr>
          <w:ilvl w:val="1"/>
          <w:numId w:val="84"/>
        </w:numPr>
        <w:ind w:left="0" w:firstLine="420" w:firstLineChars="175"/>
        <w:rPr>
          <w:rFonts w:hAnsi="宋体" w:cs="Arial"/>
        </w:rPr>
      </w:pPr>
      <w:r>
        <w:rPr>
          <w:rFonts w:hint="eastAsia" w:hAnsi="宋体" w:cs="Arial"/>
        </w:rPr>
        <w:t>知识体系应对不同类别和级别的岗位提出相应的知识要求，同时要符合要求的人员数量。</w:t>
      </w:r>
    </w:p>
    <w:p>
      <w:pPr>
        <w:pStyle w:val="135"/>
        <w:numPr>
          <w:ilvl w:val="2"/>
          <w:numId w:val="81"/>
        </w:numPr>
        <w:spacing w:before="120"/>
        <w:ind w:left="0" w:firstLine="482"/>
        <w:rPr>
          <w:rFonts w:hAnsi="宋体" w:cs="Arial"/>
          <w:b/>
          <w:bCs/>
        </w:rPr>
      </w:pPr>
      <w:r>
        <w:rPr>
          <w:rFonts w:hint="eastAsia" w:hAnsi="宋体" w:cs="Arial"/>
          <w:b/>
          <w:bCs/>
        </w:rPr>
        <w:t>须具备的技术能力要求：</w:t>
      </w:r>
    </w:p>
    <w:p>
      <w:pPr>
        <w:pStyle w:val="135"/>
        <w:numPr>
          <w:ilvl w:val="1"/>
          <w:numId w:val="85"/>
        </w:numPr>
        <w:ind w:left="0" w:firstLine="420" w:firstLineChars="175"/>
        <w:rPr>
          <w:rFonts w:hAnsi="宋体" w:cs="Arial"/>
        </w:rPr>
      </w:pPr>
      <w:r>
        <w:rPr>
          <w:rFonts w:hint="eastAsia" w:hAnsi="宋体" w:cs="Arial"/>
        </w:rPr>
        <w:t>确定运行维护服务人员在运行维护服务中所必备的能力，能够识别运维服务业务所需的资格要求和能力要求；</w:t>
      </w:r>
    </w:p>
    <w:p>
      <w:pPr>
        <w:pStyle w:val="135"/>
        <w:numPr>
          <w:ilvl w:val="1"/>
          <w:numId w:val="85"/>
        </w:numPr>
        <w:ind w:left="0" w:firstLine="420" w:firstLineChars="175"/>
        <w:rPr>
          <w:rFonts w:hAnsi="宋体" w:cs="Arial"/>
        </w:rPr>
      </w:pPr>
      <w:r>
        <w:rPr>
          <w:rFonts w:hint="eastAsia" w:hAnsi="宋体" w:cs="Arial"/>
        </w:rPr>
        <w:t>要求运行维护服务人员具备从事相关运行维护服务的资格，保障主要人员具备相关能力；</w:t>
      </w:r>
    </w:p>
    <w:p>
      <w:pPr>
        <w:pStyle w:val="135"/>
        <w:numPr>
          <w:ilvl w:val="1"/>
          <w:numId w:val="85"/>
        </w:numPr>
        <w:ind w:left="0" w:firstLine="420" w:firstLineChars="175"/>
        <w:rPr>
          <w:rFonts w:hAnsi="宋体" w:cs="Arial"/>
        </w:rPr>
      </w:pPr>
      <w:r>
        <w:rPr>
          <w:rFonts w:hint="eastAsia" w:hAnsi="宋体" w:cs="Arial"/>
        </w:rPr>
        <w:t>确保满足特殊环境运行维护服务人员应具备相关资格要求；</w:t>
      </w:r>
    </w:p>
    <w:p>
      <w:pPr>
        <w:pStyle w:val="135"/>
        <w:numPr>
          <w:ilvl w:val="1"/>
          <w:numId w:val="85"/>
        </w:numPr>
        <w:ind w:left="0" w:firstLine="420" w:firstLineChars="175"/>
        <w:rPr>
          <w:rFonts w:hAnsi="宋体" w:cs="Arial"/>
        </w:rPr>
      </w:pPr>
      <w:r>
        <w:rPr>
          <w:rFonts w:hint="eastAsia" w:hAnsi="宋体" w:cs="Arial"/>
        </w:rPr>
        <w:t>制定运维人员技能级别规范，保存从业资格证书；人员技能与服务目录匹配，满足相关行业、专业资格人员的数量；</w:t>
      </w:r>
    </w:p>
    <w:p>
      <w:pPr>
        <w:pStyle w:val="135"/>
        <w:numPr>
          <w:ilvl w:val="1"/>
          <w:numId w:val="85"/>
        </w:numPr>
        <w:ind w:left="0" w:firstLine="420" w:firstLineChars="175"/>
        <w:rPr>
          <w:rFonts w:hAnsi="宋体" w:cs="Arial"/>
        </w:rPr>
      </w:pPr>
      <w:r>
        <w:rPr>
          <w:rFonts w:hint="eastAsia" w:hAnsi="宋体" w:cs="Arial"/>
        </w:rPr>
        <w:t>建立人员技能评价体系，考虑评价体系的适宜性，人员技能与岗位要求相匹配，保存技能评价记录。</w:t>
      </w:r>
    </w:p>
    <w:p>
      <w:pPr>
        <w:pStyle w:val="135"/>
        <w:numPr>
          <w:ilvl w:val="2"/>
          <w:numId w:val="81"/>
        </w:numPr>
        <w:spacing w:before="120"/>
        <w:ind w:left="0" w:firstLine="482"/>
        <w:rPr>
          <w:rFonts w:hAnsi="宋体" w:cs="Arial"/>
          <w:b/>
          <w:bCs/>
        </w:rPr>
      </w:pPr>
      <w:r>
        <w:rPr>
          <w:rFonts w:hint="eastAsia" w:hAnsi="宋体" w:cs="Arial"/>
          <w:b/>
          <w:bCs/>
        </w:rPr>
        <w:t>须具备的技术经验要求：</w:t>
      </w:r>
    </w:p>
    <w:p>
      <w:pPr>
        <w:pStyle w:val="135"/>
        <w:numPr>
          <w:ilvl w:val="1"/>
          <w:numId w:val="86"/>
        </w:numPr>
        <w:ind w:left="0" w:firstLine="420" w:firstLineChars="175"/>
        <w:rPr>
          <w:rFonts w:hAnsi="宋体" w:cs="Arial"/>
        </w:rPr>
      </w:pPr>
      <w:r>
        <w:rPr>
          <w:rFonts w:hint="eastAsia" w:hAnsi="宋体" w:cs="Arial"/>
        </w:rPr>
        <w:t xml:space="preserve">保障主要运行维护服务人员应具备所从事运行维护服务活动的经验； </w:t>
      </w:r>
    </w:p>
    <w:p>
      <w:pPr>
        <w:pStyle w:val="135"/>
        <w:numPr>
          <w:ilvl w:val="1"/>
          <w:numId w:val="86"/>
        </w:numPr>
        <w:ind w:left="0" w:firstLine="420" w:firstLineChars="175"/>
        <w:rPr>
          <w:rFonts w:hAnsi="宋体" w:cs="Arial"/>
        </w:rPr>
      </w:pPr>
      <w:r>
        <w:rPr>
          <w:rFonts w:hint="eastAsia" w:hAnsi="宋体" w:cs="Arial"/>
        </w:rPr>
        <w:t>中标方应具备一定的从事运行维护服务活动的经验；</w:t>
      </w:r>
    </w:p>
    <w:p>
      <w:pPr>
        <w:pStyle w:val="135"/>
        <w:numPr>
          <w:ilvl w:val="1"/>
          <w:numId w:val="86"/>
        </w:numPr>
        <w:ind w:left="0" w:firstLine="420" w:firstLineChars="175"/>
        <w:rPr>
          <w:rFonts w:hAnsi="宋体" w:cs="Arial"/>
        </w:rPr>
      </w:pPr>
      <w:r>
        <w:rPr>
          <w:rFonts w:hint="eastAsia" w:hAnsi="宋体" w:cs="Arial"/>
        </w:rPr>
        <w:t>建立人员履历、培训及其管理的相关制度，运维人员主持或参与运行维护服务项目的项目数量、项目金额、项目规模以及在项目中的角色作用等；</w:t>
      </w:r>
    </w:p>
    <w:p>
      <w:pPr>
        <w:pStyle w:val="135"/>
        <w:numPr>
          <w:ilvl w:val="1"/>
          <w:numId w:val="86"/>
        </w:numPr>
        <w:ind w:left="0" w:firstLine="420" w:firstLineChars="175"/>
        <w:rPr>
          <w:rFonts w:hAnsi="宋体" w:cs="Arial"/>
        </w:rPr>
      </w:pPr>
      <w:r>
        <w:rPr>
          <w:rFonts w:hint="eastAsia" w:hAnsi="宋体" w:cs="Arial"/>
        </w:rPr>
        <w:t>人员经验与业务需求匹配，如项目人员分配，岗位职责等。</w:t>
      </w:r>
    </w:p>
    <w:p>
      <w:pPr>
        <w:pStyle w:val="7"/>
        <w:numPr>
          <w:ilvl w:val="4"/>
          <w:numId w:val="72"/>
        </w:numPr>
      </w:pPr>
      <w:r>
        <w:rPr>
          <w:rFonts w:hint="eastAsia"/>
        </w:rPr>
        <w:t>团队人数与组成要求</w:t>
      </w:r>
    </w:p>
    <w:p>
      <w:pPr>
        <w:ind w:firstLine="480" w:firstLineChars="200"/>
        <w:rPr>
          <w:rFonts w:hAnsi="宋体" w:cs="Arial"/>
        </w:rPr>
      </w:pPr>
      <w:r>
        <w:rPr>
          <w:rFonts w:hint="eastAsia" w:hAnsi="宋体" w:cs="Arial"/>
        </w:rPr>
        <w:t>针对数字福建云计算中心（政务云）基础设施的规模和复杂程度，结合ISO20000体系及ITSS认证标准，参考国内同等规模数据中心人员实际配置经验，依据本运维服务工作任务事项和工作量评估，本项目需至少配置运维团队共计34人（其中驻点运维现场的专职人员</w:t>
      </w:r>
      <w:r>
        <w:rPr>
          <w:rFonts w:hAnsi="宋体" w:cs="Arial"/>
        </w:rPr>
        <w:t>23</w:t>
      </w:r>
      <w:r>
        <w:rPr>
          <w:rFonts w:hint="eastAsia" w:hAnsi="宋体" w:cs="Arial"/>
        </w:rPr>
        <w:t>人(</w:t>
      </w:r>
      <w:r>
        <w:rPr>
          <w:rFonts w:hAnsi="宋体" w:cs="Arial"/>
        </w:rPr>
        <w:t>5*8</w:t>
      </w:r>
      <w:r>
        <w:rPr>
          <w:rFonts w:hint="eastAsia" w:hAnsi="宋体" w:cs="Arial"/>
        </w:rPr>
        <w:t>驻点1</w:t>
      </w:r>
      <w:r>
        <w:rPr>
          <w:rFonts w:hAnsi="宋体" w:cs="Arial"/>
        </w:rPr>
        <w:t>3</w:t>
      </w:r>
      <w:r>
        <w:rPr>
          <w:rFonts w:hint="eastAsia" w:hAnsi="宋体" w:cs="Arial"/>
        </w:rPr>
        <w:t>人、7</w:t>
      </w:r>
      <w:r>
        <w:rPr>
          <w:rFonts w:hAnsi="宋体" w:cs="Arial"/>
        </w:rPr>
        <w:t>*24</w:t>
      </w:r>
      <w:r>
        <w:rPr>
          <w:rFonts w:hint="eastAsia" w:hAnsi="宋体" w:cs="Arial"/>
        </w:rPr>
        <w:t>驻点1</w:t>
      </w:r>
      <w:r>
        <w:rPr>
          <w:rFonts w:hAnsi="宋体" w:cs="Arial"/>
        </w:rPr>
        <w:t>0</w:t>
      </w:r>
      <w:r>
        <w:rPr>
          <w:rFonts w:hint="eastAsia" w:hAnsi="宋体" w:cs="Arial"/>
        </w:rPr>
        <w:t>人</w:t>
      </w:r>
      <w:r>
        <w:rPr>
          <w:rFonts w:hAnsi="宋体" w:cs="Arial"/>
        </w:rPr>
        <w:t>)</w:t>
      </w:r>
      <w:r>
        <w:rPr>
          <w:rFonts w:hint="eastAsia" w:hAnsi="宋体" w:cs="Arial"/>
        </w:rPr>
        <w:t>，管理人员、技术保障人员共1</w:t>
      </w:r>
      <w:r>
        <w:rPr>
          <w:rFonts w:hAnsi="宋体" w:cs="Arial"/>
        </w:rPr>
        <w:t>1</w:t>
      </w:r>
      <w:r>
        <w:rPr>
          <w:rFonts w:hint="eastAsia" w:hAnsi="宋体" w:cs="Arial"/>
        </w:rPr>
        <w:t>人）。</w:t>
      </w:r>
    </w:p>
    <w:p>
      <w:pPr>
        <w:ind w:firstLine="480" w:firstLineChars="200"/>
        <w:rPr>
          <w:rFonts w:hAnsi="宋体" w:cs="Arial"/>
        </w:rPr>
      </w:pPr>
      <w:r>
        <w:rPr>
          <w:rFonts w:hint="eastAsia" w:hAnsi="宋体" w:cs="Arial"/>
        </w:rPr>
        <w:t>具体人员配置如下：</w:t>
      </w:r>
    </w:p>
    <w:p>
      <w:pPr>
        <w:pStyle w:val="135"/>
        <w:numPr>
          <w:ilvl w:val="2"/>
          <w:numId w:val="87"/>
        </w:numPr>
        <w:spacing w:before="120"/>
        <w:ind w:left="0" w:firstLine="482"/>
        <w:rPr>
          <w:rFonts w:hAnsi="宋体" w:cs="Arial"/>
          <w:b/>
          <w:bCs/>
        </w:rPr>
      </w:pPr>
      <w:r>
        <w:rPr>
          <w:rFonts w:hint="eastAsia" w:hAnsi="宋体" w:cs="Arial"/>
          <w:b/>
          <w:bCs/>
        </w:rPr>
        <w:t>总负责</w:t>
      </w:r>
    </w:p>
    <w:p>
      <w:pPr>
        <w:ind w:firstLine="480" w:firstLineChars="200"/>
        <w:rPr>
          <w:rFonts w:hAnsi="宋体" w:cs="Arial"/>
        </w:rPr>
      </w:pPr>
      <w:r>
        <w:rPr>
          <w:rFonts w:hint="eastAsia" w:hAnsi="宋体" w:cs="Arial"/>
        </w:rPr>
        <w:t>现场设置1名项目经理，全面负责项目各类事务。</w:t>
      </w:r>
    </w:p>
    <w:p>
      <w:pPr>
        <w:pStyle w:val="135"/>
        <w:numPr>
          <w:ilvl w:val="2"/>
          <w:numId w:val="87"/>
        </w:numPr>
        <w:spacing w:before="120"/>
        <w:ind w:left="0" w:firstLine="482"/>
        <w:rPr>
          <w:rFonts w:hAnsi="宋体" w:cs="Arial"/>
          <w:b/>
          <w:bCs/>
        </w:rPr>
      </w:pPr>
      <w:r>
        <w:rPr>
          <w:rFonts w:hint="eastAsia" w:hAnsi="宋体" w:cs="Arial"/>
          <w:b/>
          <w:bCs/>
        </w:rPr>
        <w:t>运行监控中心</w:t>
      </w:r>
    </w:p>
    <w:p>
      <w:pPr>
        <w:ind w:firstLine="480" w:firstLineChars="200"/>
        <w:rPr>
          <w:rFonts w:hAnsi="宋体" w:cs="Arial"/>
        </w:rPr>
      </w:pPr>
      <w:r>
        <w:rPr>
          <w:rFonts w:hint="eastAsia" w:hAnsi="宋体" w:cs="Arial"/>
        </w:rPr>
        <w:t>运行监控中心拟定设置值班人员白班3人（2班）计6人，晚班2人（2班）计4人，加上管理人员4人，共计14人。对于故障处理等特殊事件，服务单位需承诺保障支持。</w:t>
      </w:r>
    </w:p>
    <w:p>
      <w:pPr>
        <w:pStyle w:val="135"/>
        <w:numPr>
          <w:ilvl w:val="2"/>
          <w:numId w:val="87"/>
        </w:numPr>
        <w:spacing w:before="120"/>
        <w:ind w:left="0" w:firstLine="482"/>
        <w:rPr>
          <w:rFonts w:hAnsi="宋体" w:cs="Arial"/>
          <w:b/>
          <w:bCs/>
        </w:rPr>
      </w:pPr>
      <w:r>
        <w:rPr>
          <w:rFonts w:hint="eastAsia" w:hAnsi="宋体" w:cs="Arial"/>
          <w:b/>
          <w:bCs/>
        </w:rPr>
        <w:t>技术保障中心</w:t>
      </w:r>
    </w:p>
    <w:p>
      <w:pPr>
        <w:ind w:firstLine="480" w:firstLineChars="200"/>
        <w:rPr>
          <w:rFonts w:hAnsi="宋体" w:cs="Arial"/>
        </w:rPr>
      </w:pPr>
      <w:r>
        <w:rPr>
          <w:rFonts w:hint="eastAsia" w:hAnsi="宋体" w:cs="Arial"/>
        </w:rPr>
        <w:t>技术保障工作共1</w:t>
      </w:r>
      <w:r>
        <w:rPr>
          <w:rFonts w:hAnsi="宋体" w:cs="Arial"/>
        </w:rPr>
        <w:t>3</w:t>
      </w:r>
      <w:r>
        <w:rPr>
          <w:rFonts w:hint="eastAsia" w:hAnsi="宋体" w:cs="Arial"/>
        </w:rPr>
        <w:t>人。其中技术主管1人，电气工程师、通风空调工程师、智能化、消防工程师及安全工程师各2人计</w:t>
      </w:r>
      <w:r>
        <w:rPr>
          <w:rFonts w:hAnsi="宋体" w:cs="Arial"/>
        </w:rPr>
        <w:t>8</w:t>
      </w:r>
      <w:r>
        <w:rPr>
          <w:rFonts w:hint="eastAsia" w:hAnsi="宋体" w:cs="Arial"/>
        </w:rPr>
        <w:t>人，绿色数据中心工程师、I</w:t>
      </w:r>
      <w:r>
        <w:rPr>
          <w:rFonts w:hAnsi="宋体" w:cs="Arial"/>
        </w:rPr>
        <w:t>T</w:t>
      </w:r>
      <w:r>
        <w:rPr>
          <w:rFonts w:hint="eastAsia" w:hAnsi="宋体" w:cs="Arial"/>
        </w:rPr>
        <w:t>与交付工程师、技改工程师、网络工程师各1人计</w:t>
      </w:r>
      <w:r>
        <w:rPr>
          <w:rFonts w:hAnsi="宋体" w:cs="Arial"/>
        </w:rPr>
        <w:t>4</w:t>
      </w:r>
      <w:r>
        <w:rPr>
          <w:rFonts w:hint="eastAsia" w:hAnsi="宋体" w:cs="Arial"/>
        </w:rPr>
        <w:t>人。</w:t>
      </w:r>
    </w:p>
    <w:p>
      <w:pPr>
        <w:pStyle w:val="135"/>
        <w:numPr>
          <w:ilvl w:val="2"/>
          <w:numId w:val="87"/>
        </w:numPr>
        <w:spacing w:before="120"/>
        <w:ind w:left="0" w:firstLine="482"/>
        <w:rPr>
          <w:rFonts w:hAnsi="宋体" w:cs="Arial"/>
          <w:b/>
          <w:bCs/>
        </w:rPr>
      </w:pPr>
      <w:r>
        <w:rPr>
          <w:rFonts w:hint="eastAsia" w:hAnsi="宋体" w:cs="Arial"/>
          <w:b/>
          <w:bCs/>
        </w:rPr>
        <w:t>运维管理中心</w:t>
      </w:r>
    </w:p>
    <w:p>
      <w:pPr>
        <w:ind w:firstLine="480" w:firstLineChars="200"/>
        <w:rPr>
          <w:rFonts w:hAnsi="宋体" w:cs="Arial"/>
        </w:rPr>
      </w:pPr>
      <w:r>
        <w:rPr>
          <w:rFonts w:hint="eastAsia" w:hAnsi="宋体" w:cs="Arial"/>
        </w:rPr>
        <w:t>运维管理中心需配置管理人员6人，主要负责运维体系的优化完善和执行管理，根据云计算中心机房基础设施实际情况持续优化运维体系。</w:t>
      </w:r>
    </w:p>
    <w:p>
      <w:pPr>
        <w:ind w:firstLine="480" w:firstLineChars="200"/>
        <w:rPr>
          <w:rFonts w:hAnsi="宋体" w:cs="Arial"/>
        </w:rPr>
      </w:pPr>
      <w:r>
        <w:rPr>
          <w:rFonts w:hint="eastAsia" w:hAnsi="宋体" w:cs="Arial"/>
        </w:rPr>
        <w:t>团队各岗位人员具体数量配置和岗位要求详情见下表：</w:t>
      </w:r>
    </w:p>
    <w:p>
      <w:pPr>
        <w:pStyle w:val="11"/>
        <w:numPr>
          <w:ilvl w:val="8"/>
          <w:numId w:val="72"/>
        </w:numPr>
      </w:pPr>
      <w:bookmarkStart w:id="65" w:name="_Toc165045263"/>
      <w:r>
        <w:rPr>
          <w:rFonts w:hint="eastAsia"/>
        </w:rPr>
        <w:t>团队各岗位人员具体数量配置和岗位要求</w:t>
      </w:r>
      <w:bookmarkEnd w:id="65"/>
    </w:p>
    <w:tbl>
      <w:tblPr>
        <w:tblStyle w:val="75"/>
        <w:tblW w:w="9180" w:type="dxa"/>
        <w:tblInd w:w="0" w:type="dxa"/>
        <w:tblLayout w:type="autofit"/>
        <w:tblCellMar>
          <w:top w:w="0" w:type="dxa"/>
          <w:left w:w="108" w:type="dxa"/>
          <w:bottom w:w="0" w:type="dxa"/>
          <w:right w:w="108" w:type="dxa"/>
        </w:tblCellMar>
      </w:tblPr>
      <w:tblGrid>
        <w:gridCol w:w="759"/>
        <w:gridCol w:w="1485"/>
        <w:gridCol w:w="2409"/>
        <w:gridCol w:w="2976"/>
        <w:gridCol w:w="741"/>
        <w:gridCol w:w="810"/>
      </w:tblGrid>
      <w:tr>
        <w:tblPrEx>
          <w:tblCellMar>
            <w:top w:w="0" w:type="dxa"/>
            <w:left w:w="108" w:type="dxa"/>
            <w:bottom w:w="0" w:type="dxa"/>
            <w:right w:w="108" w:type="dxa"/>
          </w:tblCellMar>
        </w:tblPrEx>
        <w:trPr>
          <w:tblHeader/>
        </w:trPr>
        <w:tc>
          <w:tcPr>
            <w:tcW w:w="759"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485"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岗位类别</w:t>
            </w:r>
          </w:p>
        </w:tc>
        <w:tc>
          <w:tcPr>
            <w:tcW w:w="240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岗位职责说明</w:t>
            </w:r>
          </w:p>
        </w:tc>
        <w:tc>
          <w:tcPr>
            <w:tcW w:w="29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岗位要求</w:t>
            </w:r>
          </w:p>
        </w:tc>
        <w:tc>
          <w:tcPr>
            <w:tcW w:w="74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服务类别</w:t>
            </w:r>
          </w:p>
        </w:tc>
        <w:tc>
          <w:tcPr>
            <w:tcW w:w="81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实配人数</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000000" w:fill="FFFFF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w:t>
            </w:r>
          </w:p>
        </w:tc>
        <w:tc>
          <w:tcPr>
            <w:tcW w:w="1485" w:type="dxa"/>
            <w:tcBorders>
              <w:top w:val="nil"/>
              <w:left w:val="nil"/>
              <w:bottom w:val="single" w:color="auto" w:sz="4" w:space="0"/>
              <w:right w:val="single" w:color="auto" w:sz="4" w:space="0"/>
            </w:tcBorders>
            <w:shd w:val="clear" w:color="000000" w:fill="FFFFFF"/>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总负责</w:t>
            </w:r>
          </w:p>
        </w:tc>
        <w:tc>
          <w:tcPr>
            <w:tcW w:w="6936" w:type="dxa"/>
            <w:gridSpan w:val="4"/>
            <w:tcBorders>
              <w:top w:val="single" w:color="auto" w:sz="4" w:space="0"/>
              <w:left w:val="nil"/>
              <w:bottom w:val="single" w:color="auto" w:sz="4" w:space="0"/>
              <w:right w:val="double" w:color="000000" w:sz="6" w:space="0"/>
            </w:tcBorders>
            <w:shd w:val="clear" w:color="000000" w:fill="FFFFFF"/>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全面负责项目各类事务</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项目经理</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全面负责项目各类事务</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1、具有良好的团队合作精神和计划推动能力；</w:t>
            </w:r>
          </w:p>
          <w:p>
            <w:pPr>
              <w:widowControl/>
              <w:spacing w:line="360" w:lineRule="exact"/>
              <w:jc w:val="left"/>
              <w:rPr>
                <w:rFonts w:hAnsi="宋体" w:cs="宋体"/>
                <w:kern w:val="0"/>
                <w:sz w:val="21"/>
                <w:szCs w:val="21"/>
              </w:rPr>
            </w:pPr>
            <w:r>
              <w:rPr>
                <w:rFonts w:hint="eastAsia" w:hAnsi="宋体" w:cs="宋体"/>
                <w:kern w:val="0"/>
                <w:sz w:val="21"/>
                <w:szCs w:val="21"/>
              </w:rPr>
              <w:t>2、能够带领团队，具有较好的团队合作精神，有良好的统筹能力及协调管理能力；</w:t>
            </w:r>
          </w:p>
          <w:p>
            <w:pPr>
              <w:widowControl/>
              <w:spacing w:line="360" w:lineRule="exact"/>
              <w:jc w:val="left"/>
              <w:rPr>
                <w:rFonts w:hAnsi="宋体" w:cs="宋体"/>
                <w:kern w:val="0"/>
                <w:sz w:val="21"/>
                <w:szCs w:val="21"/>
              </w:rPr>
            </w:pPr>
            <w:r>
              <w:rPr>
                <w:rFonts w:hint="eastAsia" w:hAnsi="宋体" w:cs="宋体"/>
                <w:kern w:val="0"/>
                <w:sz w:val="21"/>
                <w:szCs w:val="21"/>
              </w:rPr>
              <w:t>3、3年以上相关工作经验， 1年以上项目管理经验。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运行监控中心</w:t>
            </w:r>
          </w:p>
        </w:tc>
        <w:tc>
          <w:tcPr>
            <w:tcW w:w="6936" w:type="dxa"/>
            <w:gridSpan w:val="4"/>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负责数据中心7*24小时运行监控，机房巡查，故障应急处置，机房出入管理，机房值班管理，机房卫生及秩序管理</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运行主管</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负责运行值班，监控告警，服务台受理，应急处置，客户服务等工作的日常管理</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1、具有较高的服务意识；</w:t>
            </w:r>
          </w:p>
          <w:p>
            <w:pPr>
              <w:widowControl/>
              <w:spacing w:line="360" w:lineRule="exact"/>
              <w:jc w:val="left"/>
              <w:rPr>
                <w:rFonts w:hAnsi="宋体" w:cs="宋体"/>
                <w:kern w:val="0"/>
                <w:sz w:val="21"/>
                <w:szCs w:val="21"/>
              </w:rPr>
            </w:pPr>
            <w:r>
              <w:rPr>
                <w:rFonts w:hint="eastAsia" w:hAnsi="宋体" w:cs="宋体"/>
                <w:kern w:val="0"/>
                <w:sz w:val="21"/>
                <w:szCs w:val="21"/>
              </w:rPr>
              <w:t>2、熟悉数据中心相关业务，能够对数据进行统计、汇总、分析，并撰写建议报告；</w:t>
            </w:r>
          </w:p>
          <w:p>
            <w:pPr>
              <w:widowControl/>
              <w:spacing w:line="360" w:lineRule="exact"/>
              <w:jc w:val="left"/>
              <w:rPr>
                <w:rFonts w:hAnsi="宋体" w:cs="宋体"/>
                <w:kern w:val="0"/>
                <w:sz w:val="21"/>
                <w:szCs w:val="21"/>
              </w:rPr>
            </w:pPr>
            <w:r>
              <w:rPr>
                <w:rFonts w:hint="eastAsia" w:hAnsi="宋体" w:cs="宋体"/>
                <w:kern w:val="0"/>
                <w:sz w:val="21"/>
                <w:szCs w:val="21"/>
              </w:rPr>
              <w:t>3、3年以上相关工作经验，1年以上客户服务经验。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值班长</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事件管理，事件处理进度跟踪，处理结果确认，负责知识库建设，值班管理，做为值班工程师岗后备工程师。</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1、具有事件故障分析判断能力；</w:t>
            </w:r>
          </w:p>
          <w:p>
            <w:pPr>
              <w:widowControl/>
              <w:spacing w:line="360" w:lineRule="exact"/>
              <w:jc w:val="left"/>
              <w:rPr>
                <w:rFonts w:hAnsi="宋体" w:cs="宋体"/>
                <w:kern w:val="0"/>
                <w:sz w:val="21"/>
                <w:szCs w:val="21"/>
              </w:rPr>
            </w:pPr>
            <w:r>
              <w:rPr>
                <w:rFonts w:hint="eastAsia" w:hAnsi="宋体" w:cs="宋体"/>
                <w:kern w:val="0"/>
                <w:sz w:val="21"/>
                <w:szCs w:val="21"/>
              </w:rPr>
              <w:t>2、具备较强的沟通协调能力；</w:t>
            </w:r>
          </w:p>
          <w:p>
            <w:pPr>
              <w:widowControl/>
              <w:spacing w:line="360" w:lineRule="exact"/>
              <w:jc w:val="left"/>
              <w:rPr>
                <w:rFonts w:hAnsi="宋体" w:cs="宋体"/>
                <w:kern w:val="0"/>
                <w:sz w:val="21"/>
                <w:szCs w:val="21"/>
              </w:rPr>
            </w:pPr>
            <w:r>
              <w:rPr>
                <w:rFonts w:hint="eastAsia" w:hAnsi="宋体" w:cs="宋体"/>
                <w:kern w:val="0"/>
                <w:sz w:val="21"/>
                <w:szCs w:val="21"/>
              </w:rPr>
              <w:t>3、具有一定的数据中心方面的专业知识；</w:t>
            </w:r>
          </w:p>
          <w:p>
            <w:pPr>
              <w:widowControl/>
              <w:spacing w:line="360" w:lineRule="exact"/>
              <w:jc w:val="left"/>
              <w:rPr>
                <w:rFonts w:hAnsi="宋体" w:cs="宋体"/>
                <w:kern w:val="0"/>
                <w:sz w:val="21"/>
                <w:szCs w:val="21"/>
              </w:rPr>
            </w:pPr>
            <w:r>
              <w:rPr>
                <w:rFonts w:hint="eastAsia" w:hAnsi="宋体" w:cs="宋体"/>
                <w:kern w:val="0"/>
                <w:sz w:val="21"/>
                <w:szCs w:val="21"/>
              </w:rPr>
              <w:t>4、3年以上相关工作经验。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机房管理工程师/随工</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门禁、照明管理，外人进入机房全程陪同，机房卫生与秩序管理，机房设施维护管理，机房人员及设备出入申请的受理，人员及资源安排、协调。日常机房综合布线及设备上架管理，做为值班工程师岗后备工程师。</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1、具备较强的沟通协调能力；</w:t>
            </w:r>
          </w:p>
          <w:p>
            <w:pPr>
              <w:widowControl/>
              <w:spacing w:line="360" w:lineRule="exact"/>
              <w:jc w:val="left"/>
              <w:rPr>
                <w:rFonts w:hAnsi="宋体" w:cs="宋体"/>
                <w:kern w:val="0"/>
                <w:sz w:val="21"/>
                <w:szCs w:val="21"/>
              </w:rPr>
            </w:pPr>
            <w:r>
              <w:rPr>
                <w:rFonts w:hint="eastAsia" w:hAnsi="宋体" w:cs="宋体"/>
                <w:kern w:val="0"/>
                <w:sz w:val="21"/>
                <w:szCs w:val="21"/>
              </w:rPr>
              <w:t>2、一定的基础设施和网络基础知识；</w:t>
            </w:r>
          </w:p>
          <w:p>
            <w:pPr>
              <w:widowControl/>
              <w:spacing w:line="360" w:lineRule="exact"/>
              <w:jc w:val="left"/>
              <w:rPr>
                <w:rFonts w:hAnsi="宋体" w:cs="宋体"/>
                <w:kern w:val="0"/>
                <w:sz w:val="21"/>
                <w:szCs w:val="21"/>
              </w:rPr>
            </w:pPr>
            <w:r>
              <w:rPr>
                <w:rFonts w:hint="eastAsia" w:hAnsi="宋体" w:cs="宋体"/>
                <w:kern w:val="0"/>
                <w:sz w:val="21"/>
                <w:szCs w:val="21"/>
              </w:rPr>
              <w:t>3、1年以上相关工作经验。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后台响应按需到场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值班工程师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系统监控，告警确认与通知，事件登记与跟踪，机房巡查，根据应急预案开展应急处置，负责变更执行，负责设备现场巡检与维护维修工作</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1、能够吃苦耐劳，有上进心，做事有条理性，具备良好的沟通能力；</w:t>
            </w:r>
          </w:p>
          <w:p>
            <w:pPr>
              <w:widowControl/>
              <w:spacing w:line="360" w:lineRule="exact"/>
              <w:jc w:val="left"/>
              <w:rPr>
                <w:rFonts w:hAnsi="宋体" w:cs="宋体"/>
                <w:kern w:val="0"/>
                <w:sz w:val="21"/>
                <w:szCs w:val="21"/>
              </w:rPr>
            </w:pPr>
            <w:r>
              <w:rPr>
                <w:rFonts w:hint="eastAsia" w:hAnsi="宋体" w:cs="宋体"/>
                <w:kern w:val="0"/>
                <w:sz w:val="21"/>
                <w:szCs w:val="21"/>
              </w:rPr>
              <w:t>2、具有良好的学习能力，不断的提高自身技术水平；</w:t>
            </w:r>
          </w:p>
          <w:p>
            <w:pPr>
              <w:widowControl/>
              <w:spacing w:line="360" w:lineRule="exact"/>
              <w:jc w:val="left"/>
              <w:rPr>
                <w:rFonts w:hAnsi="宋体" w:cs="宋体"/>
                <w:kern w:val="0"/>
                <w:sz w:val="21"/>
                <w:szCs w:val="21"/>
              </w:rPr>
            </w:pPr>
            <w:r>
              <w:rPr>
                <w:rFonts w:hint="eastAsia" w:hAnsi="宋体" w:cs="宋体"/>
                <w:kern w:val="0"/>
                <w:sz w:val="21"/>
                <w:szCs w:val="21"/>
              </w:rPr>
              <w:t>3、1年以上相关工作经验。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7*24驻点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技术保障中心</w:t>
            </w:r>
          </w:p>
        </w:tc>
        <w:tc>
          <w:tcPr>
            <w:tcW w:w="6936" w:type="dxa"/>
            <w:gridSpan w:val="4"/>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负责数据中心各技术专业的技术管理，问题处理，运行数据分析，节能增效，技术改进，应急预案编制，技术方案编写</w:t>
            </w:r>
          </w:p>
        </w:tc>
      </w:tr>
      <w:tr>
        <w:tblPrEx>
          <w:tblCellMar>
            <w:top w:w="0" w:type="dxa"/>
            <w:left w:w="108" w:type="dxa"/>
            <w:bottom w:w="0" w:type="dxa"/>
            <w:right w:w="108" w:type="dxa"/>
          </w:tblCellMar>
        </w:tblPrEx>
        <w:trPr>
          <w:trHeight w:val="90" w:hRule="atLeast"/>
        </w:trPr>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技术主管</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负责数据中心基础设施，弱电，安防及内部管理系统的专业技术管理，负责配置与容量管理</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1、3年及以上通信设备维护或IDC机房维护经验；</w:t>
            </w:r>
          </w:p>
          <w:p>
            <w:pPr>
              <w:widowControl/>
              <w:spacing w:line="360" w:lineRule="exact"/>
              <w:jc w:val="left"/>
              <w:rPr>
                <w:rFonts w:hAnsi="宋体" w:cs="宋体"/>
                <w:kern w:val="0"/>
                <w:sz w:val="21"/>
                <w:szCs w:val="21"/>
              </w:rPr>
            </w:pPr>
            <w:r>
              <w:rPr>
                <w:rFonts w:hint="eastAsia" w:hAnsi="宋体" w:cs="宋体"/>
                <w:kern w:val="0"/>
                <w:sz w:val="21"/>
                <w:szCs w:val="21"/>
              </w:rPr>
              <w:t>2、掌握暖通制冷、高低压配电、发电机组、UPS、直流电源、动环监控、蓄电池等专业要求的相关专业知识；</w:t>
            </w:r>
          </w:p>
          <w:p>
            <w:pPr>
              <w:widowControl/>
              <w:spacing w:line="360" w:lineRule="exact"/>
              <w:jc w:val="left"/>
              <w:rPr>
                <w:rFonts w:hAnsi="宋体" w:cs="宋体"/>
                <w:kern w:val="0"/>
                <w:sz w:val="21"/>
                <w:szCs w:val="21"/>
              </w:rPr>
            </w:pPr>
            <w:r>
              <w:rPr>
                <w:rFonts w:hint="eastAsia" w:hAnsi="宋体" w:cs="宋体"/>
                <w:kern w:val="0"/>
                <w:sz w:val="21"/>
                <w:szCs w:val="21"/>
              </w:rPr>
              <w:t>4、具备良好的沟通和人际交往技能；</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数据中心配电专业工作管理，牵头负责配电方面应急预案编制，配合数据中心能耗（PUE）降低工作。负责配电专业维护，巡检计划制定，风险评估与实施结果评估，应急预案与知识库编写，问题解决，变更牵头实施；负责数据中心节能降耗方案制定及牵头实施。</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1、电气工程等相关专业毕业，3年以上供配电系统、UPS供电系统设计、现场实施及维护相关工作经验；</w:t>
            </w:r>
          </w:p>
          <w:p>
            <w:pPr>
              <w:widowControl/>
              <w:spacing w:line="360" w:lineRule="exact"/>
              <w:jc w:val="left"/>
              <w:rPr>
                <w:rFonts w:hAnsi="宋体" w:cs="宋体"/>
                <w:kern w:val="0"/>
                <w:sz w:val="21"/>
                <w:szCs w:val="21"/>
              </w:rPr>
            </w:pPr>
            <w:r>
              <w:rPr>
                <w:rFonts w:hint="eastAsia" w:hAnsi="宋体" w:cs="宋体"/>
                <w:kern w:val="0"/>
                <w:sz w:val="21"/>
                <w:szCs w:val="21"/>
              </w:rPr>
              <w:t>2、具有供电质量监测，供电监测采集点设置及监测采集器件部署的相关经验；</w:t>
            </w:r>
          </w:p>
          <w:p>
            <w:pPr>
              <w:widowControl/>
              <w:spacing w:line="360" w:lineRule="exact"/>
              <w:jc w:val="left"/>
              <w:rPr>
                <w:rFonts w:hAnsi="宋体" w:cs="宋体"/>
                <w:kern w:val="0"/>
                <w:sz w:val="21"/>
                <w:szCs w:val="21"/>
              </w:rPr>
            </w:pPr>
            <w:r>
              <w:rPr>
                <w:rFonts w:hint="eastAsia" w:hAnsi="宋体" w:cs="宋体"/>
                <w:kern w:val="0"/>
                <w:sz w:val="21"/>
                <w:szCs w:val="21"/>
              </w:rPr>
              <w:t>3、具有电气设备的系统设计能力，可根据需求选择保护器件、接线器件、电缆；绘制系统原理图、接线图及接线表；</w:t>
            </w:r>
          </w:p>
          <w:p>
            <w:pPr>
              <w:widowControl/>
              <w:spacing w:line="360" w:lineRule="exact"/>
              <w:jc w:val="left"/>
              <w:rPr>
                <w:rFonts w:hAnsi="宋体" w:cs="宋体"/>
                <w:kern w:val="0"/>
                <w:sz w:val="21"/>
                <w:szCs w:val="21"/>
              </w:rPr>
            </w:pPr>
            <w:r>
              <w:rPr>
                <w:rFonts w:hint="eastAsia" w:hAnsi="宋体" w:cs="宋体"/>
                <w:kern w:val="0"/>
                <w:sz w:val="21"/>
                <w:szCs w:val="21"/>
              </w:rPr>
              <w:t>4、熟悉电气系统相关技术规范、标准。</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5*8驻点1人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暖通工程师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数据中心暖通系统专业工作管理，负责数据中心能耗（PUE）降低工作，负责运行环境安全检查与整改。负责暖通专业维护，巡检计划制定，风险评估与实施结果评估，应急预案与知识库编写，问题解决，变更牵头实施；负责数据中心节能降耗方案制定及牵头实施。</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1、暖通相关专业毕业，熟悉暖通专业相关国家标准及规范，具有3年以上暖通相关工作经验；</w:t>
            </w:r>
          </w:p>
          <w:p>
            <w:pPr>
              <w:widowControl/>
              <w:spacing w:line="360" w:lineRule="exact"/>
              <w:jc w:val="left"/>
              <w:rPr>
                <w:rFonts w:hAnsi="宋体" w:cs="宋体"/>
                <w:kern w:val="0"/>
                <w:sz w:val="21"/>
                <w:szCs w:val="21"/>
              </w:rPr>
            </w:pPr>
            <w:r>
              <w:rPr>
                <w:rFonts w:hint="eastAsia" w:hAnsi="宋体" w:cs="宋体"/>
                <w:kern w:val="0"/>
                <w:sz w:val="21"/>
                <w:szCs w:val="21"/>
              </w:rPr>
              <w:t>2、熟悉大中型冷水机组（螺杆机、离心机、末端设备）的日常维护、保养；</w:t>
            </w:r>
          </w:p>
          <w:p>
            <w:pPr>
              <w:widowControl/>
              <w:spacing w:line="360" w:lineRule="exact"/>
              <w:jc w:val="left"/>
              <w:rPr>
                <w:rFonts w:hAnsi="宋体" w:cs="宋体"/>
                <w:kern w:val="0"/>
                <w:sz w:val="21"/>
                <w:szCs w:val="21"/>
              </w:rPr>
            </w:pPr>
            <w:r>
              <w:rPr>
                <w:rFonts w:hint="eastAsia" w:hAnsi="宋体" w:cs="宋体"/>
                <w:kern w:val="0"/>
                <w:sz w:val="21"/>
                <w:szCs w:val="21"/>
              </w:rPr>
              <w:t>3、具备独立判断暖通系统故障的能力并指导团队的能力,对暖通系统节能及管理方面有实际操作经验；</w:t>
            </w:r>
          </w:p>
          <w:p>
            <w:pPr>
              <w:widowControl/>
              <w:spacing w:line="360" w:lineRule="exact"/>
              <w:jc w:val="left"/>
              <w:rPr>
                <w:rFonts w:hAnsi="宋体" w:cs="宋体"/>
                <w:kern w:val="0"/>
                <w:sz w:val="21"/>
                <w:szCs w:val="21"/>
              </w:rPr>
            </w:pPr>
            <w:r>
              <w:rPr>
                <w:rFonts w:hint="eastAsia" w:hAnsi="宋体" w:cs="宋体"/>
                <w:kern w:val="0"/>
                <w:sz w:val="21"/>
                <w:szCs w:val="21"/>
              </w:rPr>
              <w:t>4、良好的口头与书面沟通、表达能力，能够组织制订标准操作手册SOP、维护操作MOP和应急预案等；</w:t>
            </w:r>
          </w:p>
          <w:p>
            <w:pPr>
              <w:widowControl/>
              <w:spacing w:line="360" w:lineRule="exact"/>
              <w:jc w:val="left"/>
              <w:rPr>
                <w:rFonts w:hAnsi="宋体" w:cs="宋体"/>
                <w:kern w:val="0"/>
                <w:sz w:val="21"/>
                <w:szCs w:val="21"/>
              </w:rPr>
            </w:pPr>
            <w:r>
              <w:rPr>
                <w:rFonts w:hint="eastAsia" w:hAnsi="宋体" w:cs="宋体"/>
                <w:kern w:val="0"/>
                <w:sz w:val="21"/>
                <w:szCs w:val="21"/>
              </w:rPr>
              <w:t>5、具备良好的管理协调供应商能力，工作主动，能够承受较大的工作压力。</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5*8驻点1人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弱电消防系统工程师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负责数据中心消防管理，消控系统、监控系统、BA系统、门禁系统。巡检计划制定，风险评估与实施结果评估，应急预案与知识库编写，问题解决，变更牵头实施</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1、电子信息、计算机等相关专业毕业，具有3年以上相关工作经验；</w:t>
            </w:r>
          </w:p>
          <w:p>
            <w:pPr>
              <w:widowControl/>
              <w:spacing w:line="360" w:lineRule="exact"/>
              <w:jc w:val="left"/>
              <w:rPr>
                <w:rFonts w:hAnsi="宋体" w:cs="宋体"/>
                <w:kern w:val="0"/>
                <w:sz w:val="21"/>
                <w:szCs w:val="21"/>
              </w:rPr>
            </w:pPr>
            <w:r>
              <w:rPr>
                <w:rFonts w:hint="eastAsia" w:hAnsi="宋体" w:cs="宋体"/>
                <w:kern w:val="0"/>
                <w:sz w:val="21"/>
                <w:szCs w:val="21"/>
              </w:rPr>
              <w:t>2、熟悉国家、行业相关标准规范；</w:t>
            </w:r>
          </w:p>
          <w:p>
            <w:pPr>
              <w:widowControl/>
              <w:spacing w:line="360" w:lineRule="exact"/>
              <w:jc w:val="left"/>
              <w:rPr>
                <w:rFonts w:hAnsi="宋体" w:cs="宋体"/>
                <w:kern w:val="0"/>
                <w:sz w:val="21"/>
                <w:szCs w:val="21"/>
              </w:rPr>
            </w:pPr>
            <w:r>
              <w:rPr>
                <w:rFonts w:hint="eastAsia" w:hAnsi="宋体" w:cs="宋体"/>
                <w:kern w:val="0"/>
                <w:sz w:val="21"/>
                <w:szCs w:val="21"/>
              </w:rPr>
              <w:t>3、具备动环系统、视频监控系统、门禁系统、高压综保等系统的应急响应和故障处置工作能力；</w:t>
            </w:r>
          </w:p>
          <w:p>
            <w:pPr>
              <w:widowControl/>
              <w:spacing w:line="360" w:lineRule="exact"/>
              <w:jc w:val="left"/>
              <w:rPr>
                <w:rFonts w:hAnsi="宋体" w:cs="宋体"/>
                <w:kern w:val="0"/>
                <w:sz w:val="21"/>
                <w:szCs w:val="21"/>
              </w:rPr>
            </w:pPr>
            <w:r>
              <w:rPr>
                <w:rFonts w:hint="eastAsia" w:hAnsi="宋体" w:cs="宋体"/>
                <w:kern w:val="0"/>
                <w:sz w:val="21"/>
                <w:szCs w:val="21"/>
              </w:rPr>
              <w:t>4、具备参加系统设计、维护工作，并对动环系统、视频监控系统、门禁系统、高压综保等系统提出改进、完善意见和建议能力；</w:t>
            </w:r>
          </w:p>
          <w:p>
            <w:pPr>
              <w:widowControl/>
              <w:spacing w:line="360" w:lineRule="exact"/>
              <w:jc w:val="left"/>
              <w:rPr>
                <w:rFonts w:hAnsi="宋体" w:cs="宋体"/>
                <w:kern w:val="0"/>
                <w:sz w:val="21"/>
                <w:szCs w:val="21"/>
              </w:rPr>
            </w:pPr>
            <w:r>
              <w:rPr>
                <w:rFonts w:hint="eastAsia" w:hAnsi="宋体" w:cs="宋体"/>
                <w:kern w:val="0"/>
                <w:sz w:val="21"/>
                <w:szCs w:val="21"/>
              </w:rPr>
              <w:t>5、良好的团队合作和较强的执行能力。</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w:t>
            </w:r>
          </w:p>
          <w:p>
            <w:pPr>
              <w:widowControl/>
              <w:spacing w:line="360" w:lineRule="exact"/>
              <w:jc w:val="center"/>
              <w:rPr>
                <w:rFonts w:hAnsi="宋体" w:cs="宋体"/>
                <w:kern w:val="0"/>
                <w:sz w:val="21"/>
                <w:szCs w:val="21"/>
              </w:rPr>
            </w:pPr>
            <w:r>
              <w:rPr>
                <w:rFonts w:hint="eastAsia" w:hAnsi="宋体" w:cs="宋体"/>
                <w:kern w:val="0"/>
                <w:sz w:val="21"/>
                <w:szCs w:val="21"/>
              </w:rPr>
              <w:t>驻点1人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绿色数据中心工程师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负责建立数据中心绿色运维管理制度、有序推进节能降碳改造提升工作</w:t>
            </w:r>
            <w:r>
              <w:rPr>
                <w:rFonts w:hAnsi="宋体" w:cs="宋体"/>
                <w:kern w:val="0"/>
                <w:sz w:val="21"/>
                <w:szCs w:val="21"/>
              </w:rPr>
              <w:t xml:space="preserve"> </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1、熟悉绿色数据中心相关国家、行业标准规范；</w:t>
            </w:r>
          </w:p>
          <w:p>
            <w:pPr>
              <w:widowControl/>
              <w:spacing w:line="360" w:lineRule="exact"/>
              <w:jc w:val="left"/>
              <w:rPr>
                <w:rFonts w:hAnsi="宋体" w:cs="宋体"/>
                <w:kern w:val="0"/>
                <w:sz w:val="21"/>
                <w:szCs w:val="21"/>
              </w:rPr>
            </w:pPr>
            <w:r>
              <w:rPr>
                <w:rFonts w:hint="eastAsia" w:hAnsi="宋体" w:cs="宋体"/>
                <w:kern w:val="0"/>
                <w:sz w:val="21"/>
                <w:szCs w:val="21"/>
              </w:rPr>
              <w:t>2、熟悉国家绿色数据中心评价指标体系；</w:t>
            </w:r>
          </w:p>
          <w:p>
            <w:pPr>
              <w:widowControl/>
              <w:spacing w:line="360" w:lineRule="exact"/>
              <w:jc w:val="left"/>
              <w:rPr>
                <w:rFonts w:hAnsi="宋体" w:cs="宋体"/>
                <w:kern w:val="0"/>
                <w:sz w:val="21"/>
                <w:szCs w:val="21"/>
              </w:rPr>
            </w:pPr>
            <w:r>
              <w:rPr>
                <w:rFonts w:hint="eastAsia" w:hAnsi="宋体" w:cs="宋体"/>
                <w:kern w:val="0"/>
                <w:sz w:val="21"/>
                <w:szCs w:val="21"/>
              </w:rPr>
              <w:t>3、掌握绿色数据中心节能技术知识；</w:t>
            </w:r>
          </w:p>
          <w:p>
            <w:pPr>
              <w:widowControl/>
              <w:spacing w:line="360" w:lineRule="exact"/>
              <w:jc w:val="left"/>
              <w:rPr>
                <w:rFonts w:hAnsi="宋体" w:cs="宋体"/>
                <w:kern w:val="0"/>
                <w:sz w:val="21"/>
                <w:szCs w:val="21"/>
              </w:rPr>
            </w:pPr>
            <w:r>
              <w:rPr>
                <w:rFonts w:hint="eastAsia" w:hAnsi="宋体" w:cs="宋体"/>
                <w:kern w:val="0"/>
                <w:sz w:val="21"/>
                <w:szCs w:val="21"/>
              </w:rPr>
              <w:t>4、具备绿色数据中心节能降碳改造提升实践经验。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后台响应按需到场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技改工程师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负责数据中心场地整改、调优，针对运维需求对各项设施设备实施调优；解决场地问题造成的运行故障，调度、分配及优化场地设施使用效率。负责牵头组织技改项目，改进数据中心运维效率。</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1、具有良好的文字功底；</w:t>
            </w:r>
          </w:p>
          <w:p>
            <w:pPr>
              <w:widowControl/>
              <w:spacing w:line="360" w:lineRule="exact"/>
              <w:jc w:val="left"/>
              <w:rPr>
                <w:rFonts w:hAnsi="宋体" w:cs="宋体"/>
                <w:kern w:val="0"/>
                <w:sz w:val="21"/>
                <w:szCs w:val="21"/>
              </w:rPr>
            </w:pPr>
            <w:r>
              <w:rPr>
                <w:rFonts w:hint="eastAsia" w:hAnsi="宋体" w:cs="宋体"/>
                <w:kern w:val="0"/>
                <w:sz w:val="21"/>
                <w:szCs w:val="21"/>
              </w:rPr>
              <w:t>2、能熟练使用各类电脑办公软件；</w:t>
            </w:r>
          </w:p>
          <w:p>
            <w:pPr>
              <w:widowControl/>
              <w:spacing w:line="360" w:lineRule="exact"/>
              <w:jc w:val="left"/>
              <w:rPr>
                <w:rFonts w:hAnsi="宋体" w:cs="宋体"/>
                <w:kern w:val="0"/>
                <w:sz w:val="21"/>
                <w:szCs w:val="21"/>
              </w:rPr>
            </w:pPr>
            <w:r>
              <w:rPr>
                <w:rFonts w:hint="eastAsia" w:hAnsi="宋体" w:cs="宋体"/>
                <w:kern w:val="0"/>
                <w:sz w:val="21"/>
                <w:szCs w:val="21"/>
              </w:rPr>
              <w:t>3、具有较强的服务意识和良好的沟通协调能力。</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IT与交付工程师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客户基础设施类交付需求对接，解决方案以及交付方案编制，网络开通及综合布线管理，机房容量管理，设备上架管理。</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xml:space="preserve">1、掌握网络和服务器硬件的基本知识； </w:t>
            </w:r>
          </w:p>
          <w:p>
            <w:pPr>
              <w:widowControl/>
              <w:spacing w:line="360" w:lineRule="exact"/>
              <w:jc w:val="left"/>
              <w:rPr>
                <w:rFonts w:hAnsi="宋体" w:cs="宋体"/>
                <w:kern w:val="0"/>
                <w:sz w:val="21"/>
                <w:szCs w:val="21"/>
              </w:rPr>
            </w:pPr>
            <w:r>
              <w:rPr>
                <w:rFonts w:hint="eastAsia" w:hAnsi="宋体" w:cs="宋体"/>
                <w:kern w:val="0"/>
                <w:sz w:val="21"/>
                <w:szCs w:val="21"/>
              </w:rPr>
              <w:t xml:space="preserve">2、能够独立安装配置主流品牌服务器； </w:t>
            </w:r>
          </w:p>
          <w:p>
            <w:pPr>
              <w:widowControl/>
              <w:spacing w:line="360" w:lineRule="exact"/>
              <w:jc w:val="left"/>
              <w:rPr>
                <w:rFonts w:hAnsi="宋体" w:cs="宋体"/>
                <w:kern w:val="0"/>
                <w:sz w:val="21"/>
                <w:szCs w:val="21"/>
              </w:rPr>
            </w:pPr>
            <w:r>
              <w:rPr>
                <w:rFonts w:hint="eastAsia" w:hAnsi="宋体" w:cs="宋体"/>
                <w:kern w:val="0"/>
                <w:sz w:val="21"/>
                <w:szCs w:val="21"/>
              </w:rPr>
              <w:t xml:space="preserve">3、能够组织各类培训事宜，能够为客户提供课程培训； </w:t>
            </w:r>
          </w:p>
          <w:p>
            <w:pPr>
              <w:widowControl/>
              <w:spacing w:line="360" w:lineRule="exact"/>
              <w:jc w:val="left"/>
              <w:rPr>
                <w:rFonts w:hAnsi="宋体" w:cs="宋体"/>
                <w:kern w:val="0"/>
                <w:sz w:val="21"/>
                <w:szCs w:val="21"/>
              </w:rPr>
            </w:pPr>
            <w:r>
              <w:rPr>
                <w:rFonts w:hint="eastAsia" w:hAnsi="宋体" w:cs="宋体"/>
                <w:kern w:val="0"/>
                <w:sz w:val="21"/>
                <w:szCs w:val="21"/>
              </w:rPr>
              <w:t xml:space="preserve">4、熟练掌握软件项目实施的流程，能够制定项目实施计划，并合理推进项目，完成项目验收工作； </w:t>
            </w:r>
          </w:p>
          <w:p>
            <w:pPr>
              <w:widowControl/>
              <w:spacing w:line="360" w:lineRule="exact"/>
              <w:jc w:val="left"/>
              <w:rPr>
                <w:rFonts w:hAnsi="宋体" w:cs="宋体"/>
                <w:kern w:val="0"/>
                <w:sz w:val="21"/>
                <w:szCs w:val="21"/>
              </w:rPr>
            </w:pPr>
            <w:r>
              <w:rPr>
                <w:rFonts w:hint="eastAsia" w:hAnsi="宋体" w:cs="宋体"/>
                <w:kern w:val="0"/>
                <w:sz w:val="21"/>
                <w:szCs w:val="21"/>
              </w:rPr>
              <w:t>5、具备良好的沟通协调能力，能够与客户很好的沟通交流，能够适当的引导客户准确收集客户的相关想法和需求。</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网络工程师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负责网络资源规划，网络管理制度建立，网络分配方案制定，日常维护管理，以及客户的网络交付流程制定与实施管理</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1、通信、计算机等相关专业毕业，具有3年以上相关工作经验；</w:t>
            </w:r>
          </w:p>
          <w:p>
            <w:pPr>
              <w:widowControl/>
              <w:spacing w:line="360" w:lineRule="exact"/>
              <w:jc w:val="left"/>
              <w:rPr>
                <w:rFonts w:hAnsi="宋体" w:cs="宋体"/>
                <w:kern w:val="0"/>
                <w:sz w:val="21"/>
                <w:szCs w:val="21"/>
              </w:rPr>
            </w:pPr>
            <w:r>
              <w:rPr>
                <w:rFonts w:hint="eastAsia" w:hAnsi="宋体" w:cs="宋体"/>
                <w:kern w:val="0"/>
                <w:sz w:val="21"/>
                <w:szCs w:val="21"/>
              </w:rPr>
              <w:t>2、熟练掌握路由、MPLS、网络安全、WLAN相关技术；</w:t>
            </w:r>
          </w:p>
          <w:p>
            <w:pPr>
              <w:widowControl/>
              <w:spacing w:line="360" w:lineRule="exact"/>
              <w:jc w:val="left"/>
              <w:rPr>
                <w:rFonts w:hAnsi="宋体" w:cs="宋体"/>
                <w:kern w:val="0"/>
                <w:sz w:val="21"/>
                <w:szCs w:val="21"/>
              </w:rPr>
            </w:pPr>
            <w:r>
              <w:rPr>
                <w:rFonts w:hint="eastAsia" w:hAnsi="宋体" w:cs="宋体"/>
                <w:kern w:val="0"/>
                <w:sz w:val="21"/>
                <w:szCs w:val="21"/>
              </w:rPr>
              <w:t>3、具备大、中型企业网络交付与维护经验，有云数据中心网络交付经验优先；</w:t>
            </w:r>
          </w:p>
          <w:p>
            <w:pPr>
              <w:widowControl/>
              <w:spacing w:line="360" w:lineRule="exact"/>
              <w:jc w:val="left"/>
              <w:rPr>
                <w:rFonts w:hAnsi="宋体" w:cs="宋体"/>
                <w:kern w:val="0"/>
                <w:sz w:val="21"/>
                <w:szCs w:val="21"/>
              </w:rPr>
            </w:pPr>
            <w:r>
              <w:rPr>
                <w:rFonts w:hint="eastAsia" w:hAnsi="宋体" w:cs="宋体"/>
                <w:kern w:val="0"/>
                <w:sz w:val="21"/>
                <w:szCs w:val="21"/>
              </w:rPr>
              <w:t>4、熟练掌握IP业界主流设备供应商路由器、交换机等设备硬件结构、软件规格和配置方式；</w:t>
            </w:r>
          </w:p>
          <w:p>
            <w:pPr>
              <w:widowControl/>
              <w:spacing w:line="360" w:lineRule="exact"/>
              <w:jc w:val="left"/>
              <w:rPr>
                <w:rFonts w:hAnsi="宋体" w:cs="宋体"/>
                <w:kern w:val="0"/>
                <w:sz w:val="21"/>
                <w:szCs w:val="21"/>
              </w:rPr>
            </w:pPr>
            <w:r>
              <w:rPr>
                <w:rFonts w:hint="eastAsia" w:hAnsi="宋体" w:cs="宋体"/>
                <w:kern w:val="0"/>
                <w:sz w:val="21"/>
                <w:szCs w:val="21"/>
              </w:rPr>
              <w:t>5、拥有网络产品相关的技术支持、规划设计、网络优化、测试等工作经验。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安全工程师</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负责执行IP资源管理，实施日常网络维护，IP网络线路建设，客户网络服务交付，基础设施日常安全管理，网络安全策略配置及优化，安全漏洞补丁更新，安全事件跟踪处理。</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1、具有3年以上数据中心或相关行业网络维护工作经验；</w:t>
            </w:r>
          </w:p>
          <w:p>
            <w:pPr>
              <w:widowControl/>
              <w:spacing w:line="360" w:lineRule="exact"/>
              <w:jc w:val="left"/>
              <w:rPr>
                <w:rFonts w:hAnsi="宋体" w:cs="宋体"/>
                <w:kern w:val="0"/>
                <w:sz w:val="21"/>
                <w:szCs w:val="21"/>
              </w:rPr>
            </w:pPr>
            <w:r>
              <w:rPr>
                <w:rFonts w:hint="eastAsia" w:hAnsi="宋体" w:cs="宋体"/>
                <w:kern w:val="0"/>
                <w:sz w:val="21"/>
                <w:szCs w:val="21"/>
              </w:rPr>
              <w:t>2、有数据安全项目经验或网络管理经验；</w:t>
            </w:r>
          </w:p>
          <w:p>
            <w:pPr>
              <w:widowControl/>
              <w:spacing w:line="360" w:lineRule="exact"/>
              <w:jc w:val="left"/>
              <w:rPr>
                <w:rFonts w:hAnsi="宋体" w:cs="宋体"/>
                <w:kern w:val="0"/>
                <w:sz w:val="21"/>
                <w:szCs w:val="21"/>
              </w:rPr>
            </w:pPr>
            <w:r>
              <w:rPr>
                <w:rFonts w:hint="eastAsia" w:hAnsi="宋体" w:cs="宋体"/>
                <w:kern w:val="0"/>
                <w:sz w:val="21"/>
                <w:szCs w:val="21"/>
              </w:rPr>
              <w:t xml:space="preserve">3、熟悉信息安全基本原理，了解主流安全技术；  </w:t>
            </w:r>
          </w:p>
          <w:p>
            <w:pPr>
              <w:widowControl/>
              <w:spacing w:line="360" w:lineRule="exact"/>
              <w:jc w:val="left"/>
              <w:rPr>
                <w:rFonts w:hAnsi="宋体" w:cs="宋体"/>
                <w:kern w:val="0"/>
                <w:sz w:val="21"/>
                <w:szCs w:val="21"/>
              </w:rPr>
            </w:pPr>
            <w:r>
              <w:rPr>
                <w:rFonts w:hint="eastAsia" w:hAnsi="宋体" w:cs="宋体"/>
                <w:kern w:val="0"/>
                <w:sz w:val="21"/>
                <w:szCs w:val="21"/>
              </w:rPr>
              <w:t>4、良好的数据敏感度，了解大数据相关的基础知识。</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5*8驻点1人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运维管理中心</w:t>
            </w:r>
          </w:p>
        </w:tc>
        <w:tc>
          <w:tcPr>
            <w:tcW w:w="6936" w:type="dxa"/>
            <w:gridSpan w:val="4"/>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负责运维管理体系建设与优化管理，运维认证工作管理，技术文档与技术合同管理，外包服务商管理与考核，服务级别管理，风险管理体系建设与风险管理，业务连续性管理，人员资质与证书管理，技术培训管理</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服务主管</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运维管理体系建设与优化管理及运维认证管理工作；负责建立与运维服务相适应的质量管理方法或制度，并得到应用；负责建立内部审核改进服务，策划内部审核评估，明确审核评估团队及审核周期，并明确审核评估计划的覆盖范围。</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1、熟悉国内外主流运维管理体系；</w:t>
            </w:r>
          </w:p>
          <w:p>
            <w:pPr>
              <w:widowControl/>
              <w:spacing w:line="360" w:lineRule="exact"/>
              <w:jc w:val="left"/>
              <w:rPr>
                <w:rFonts w:hAnsi="宋体" w:cs="宋体"/>
                <w:kern w:val="0"/>
                <w:sz w:val="21"/>
                <w:szCs w:val="21"/>
              </w:rPr>
            </w:pPr>
            <w:r>
              <w:rPr>
                <w:rFonts w:hint="eastAsia" w:hAnsi="宋体" w:cs="宋体"/>
                <w:kern w:val="0"/>
                <w:sz w:val="21"/>
                <w:szCs w:val="21"/>
              </w:rPr>
              <w:t>2、研究跟踪数据中心的发展趋势，能对数据中心的管理和升级提出相关建议；</w:t>
            </w:r>
          </w:p>
          <w:p>
            <w:pPr>
              <w:widowControl/>
              <w:spacing w:line="360" w:lineRule="exact"/>
              <w:jc w:val="left"/>
              <w:rPr>
                <w:rFonts w:hAnsi="宋体" w:cs="宋体"/>
                <w:kern w:val="0"/>
                <w:sz w:val="21"/>
                <w:szCs w:val="21"/>
              </w:rPr>
            </w:pPr>
            <w:r>
              <w:rPr>
                <w:rFonts w:hint="eastAsia" w:hAnsi="宋体" w:cs="宋体"/>
                <w:kern w:val="0"/>
                <w:sz w:val="21"/>
                <w:szCs w:val="21"/>
              </w:rPr>
              <w:t>3、具有3年以上相关工作经验。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后台响应按需到场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综合管理员</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牵头ISO20000、ISO27001、M&amp;O流程体系建设，牵头编制SOP，MOP，EOP，SCP，并负责存档。流程执行情况检查，运维管理绩效考核。外包服务商与合同管理，服务级别管理，数据中心风险管理，业务连续性管理。预算与核算管理。负责运维文档资料管理，数据中心管理制度、规范的编制、讲解，综合流程办理等工作</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1、熟练掌握数据中心维护工作流程；</w:t>
            </w:r>
          </w:p>
          <w:p>
            <w:pPr>
              <w:widowControl/>
              <w:spacing w:line="360" w:lineRule="exact"/>
              <w:jc w:val="left"/>
              <w:rPr>
                <w:rFonts w:hAnsi="宋体" w:cs="宋体"/>
                <w:kern w:val="0"/>
                <w:sz w:val="21"/>
                <w:szCs w:val="21"/>
              </w:rPr>
            </w:pPr>
            <w:r>
              <w:rPr>
                <w:rFonts w:hint="eastAsia" w:hAnsi="宋体" w:cs="宋体"/>
                <w:kern w:val="0"/>
                <w:sz w:val="21"/>
                <w:szCs w:val="21"/>
              </w:rPr>
              <w:t>2、具备良好的团队合作和较强的执行能力；</w:t>
            </w:r>
          </w:p>
          <w:p>
            <w:pPr>
              <w:widowControl/>
              <w:spacing w:line="360" w:lineRule="exact"/>
              <w:jc w:val="left"/>
              <w:rPr>
                <w:rFonts w:hAnsi="宋体" w:cs="宋体"/>
                <w:kern w:val="0"/>
                <w:sz w:val="21"/>
                <w:szCs w:val="21"/>
              </w:rPr>
            </w:pPr>
            <w:r>
              <w:rPr>
                <w:rFonts w:hint="eastAsia" w:hAnsi="宋体" w:cs="宋体"/>
                <w:kern w:val="0"/>
                <w:sz w:val="21"/>
                <w:szCs w:val="21"/>
              </w:rPr>
              <w:t>3、具备良好的文字功底；</w:t>
            </w:r>
          </w:p>
          <w:p>
            <w:pPr>
              <w:widowControl/>
              <w:spacing w:line="360" w:lineRule="exact"/>
              <w:jc w:val="left"/>
              <w:rPr>
                <w:rFonts w:hAnsi="宋体" w:cs="宋体"/>
                <w:kern w:val="0"/>
                <w:sz w:val="21"/>
                <w:szCs w:val="21"/>
              </w:rPr>
            </w:pPr>
            <w:r>
              <w:rPr>
                <w:rFonts w:hint="eastAsia" w:hAnsi="宋体" w:cs="宋体"/>
                <w:kern w:val="0"/>
                <w:sz w:val="21"/>
                <w:szCs w:val="21"/>
              </w:rPr>
              <w:t>4、具备文档管理、制度编撰能力；</w:t>
            </w:r>
          </w:p>
          <w:p>
            <w:pPr>
              <w:widowControl/>
              <w:spacing w:line="360" w:lineRule="exact"/>
              <w:jc w:val="left"/>
              <w:rPr>
                <w:rFonts w:hAnsi="宋体" w:cs="宋体"/>
                <w:kern w:val="0"/>
                <w:sz w:val="21"/>
                <w:szCs w:val="21"/>
              </w:rPr>
            </w:pPr>
            <w:r>
              <w:rPr>
                <w:rFonts w:hint="eastAsia" w:hAnsi="宋体" w:cs="宋体"/>
                <w:kern w:val="0"/>
                <w:sz w:val="21"/>
                <w:szCs w:val="21"/>
              </w:rPr>
              <w:t>5、能熟练使用各类电脑办公软件；</w:t>
            </w:r>
          </w:p>
          <w:p>
            <w:pPr>
              <w:widowControl/>
              <w:spacing w:line="360" w:lineRule="exact"/>
              <w:jc w:val="left"/>
              <w:rPr>
                <w:rFonts w:hAnsi="宋体" w:cs="宋体"/>
                <w:kern w:val="0"/>
                <w:sz w:val="21"/>
                <w:szCs w:val="21"/>
              </w:rPr>
            </w:pPr>
            <w:r>
              <w:rPr>
                <w:rFonts w:hint="eastAsia" w:hAnsi="宋体" w:cs="宋体"/>
                <w:kern w:val="0"/>
                <w:sz w:val="21"/>
                <w:szCs w:val="21"/>
              </w:rPr>
              <w:t>6、具有较强的服务意识和良好的沟通协调能力；</w:t>
            </w:r>
          </w:p>
          <w:p>
            <w:pPr>
              <w:widowControl/>
              <w:spacing w:line="360" w:lineRule="exact"/>
              <w:jc w:val="left"/>
              <w:rPr>
                <w:rFonts w:hAnsi="宋体" w:cs="宋体"/>
                <w:kern w:val="0"/>
                <w:sz w:val="21"/>
                <w:szCs w:val="21"/>
              </w:rPr>
            </w:pPr>
            <w:r>
              <w:rPr>
                <w:rFonts w:hint="eastAsia" w:hAnsi="宋体" w:cs="宋体"/>
                <w:kern w:val="0"/>
                <w:sz w:val="21"/>
                <w:szCs w:val="21"/>
              </w:rPr>
              <w:t>7、1年以上相关工作经验。</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5*8驻点</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容量与资产配置管理员</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负责配置管理工作，发起配置审计，负责配置管理报告发布。制定容量计划，对接业务需求作出资源供给方案。</w:t>
            </w:r>
          </w:p>
        </w:tc>
        <w:tc>
          <w:tcPr>
            <w:tcW w:w="29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1、具备用户意识和换位思考能力，能够充分理解业务部门的核心需求；</w:t>
            </w:r>
          </w:p>
          <w:p>
            <w:pPr>
              <w:widowControl/>
              <w:spacing w:line="360" w:lineRule="exact"/>
              <w:jc w:val="left"/>
              <w:rPr>
                <w:rFonts w:hAnsi="宋体" w:cs="宋体"/>
                <w:kern w:val="0"/>
                <w:sz w:val="21"/>
                <w:szCs w:val="21"/>
              </w:rPr>
            </w:pPr>
            <w:r>
              <w:rPr>
                <w:rFonts w:hint="eastAsia" w:hAnsi="宋体" w:cs="宋体"/>
                <w:kern w:val="0"/>
                <w:sz w:val="21"/>
                <w:szCs w:val="21"/>
              </w:rPr>
              <w:t>2、具备良好的逻辑思维能力、分析能力以及信息搜集能力，善于协调和利用各类资源解决问题；</w:t>
            </w:r>
          </w:p>
          <w:p>
            <w:pPr>
              <w:widowControl/>
              <w:spacing w:line="360" w:lineRule="exact"/>
              <w:jc w:val="left"/>
              <w:rPr>
                <w:rFonts w:hAnsi="宋体" w:cs="宋体"/>
                <w:kern w:val="0"/>
                <w:sz w:val="21"/>
                <w:szCs w:val="21"/>
              </w:rPr>
            </w:pPr>
            <w:r>
              <w:rPr>
                <w:rFonts w:hint="eastAsia" w:hAnsi="宋体" w:cs="宋体"/>
                <w:kern w:val="0"/>
                <w:sz w:val="21"/>
                <w:szCs w:val="21"/>
              </w:rPr>
              <w:t>3、工作积极主动，具备良好的团队协作精神、高度的责任心和优秀的执行力；</w:t>
            </w:r>
          </w:p>
          <w:p>
            <w:pPr>
              <w:widowControl/>
              <w:spacing w:line="360" w:lineRule="exact"/>
              <w:jc w:val="left"/>
              <w:rPr>
                <w:rFonts w:hAnsi="宋体" w:cs="宋体"/>
                <w:kern w:val="0"/>
                <w:sz w:val="21"/>
                <w:szCs w:val="21"/>
              </w:rPr>
            </w:pPr>
            <w:r>
              <w:rPr>
                <w:rFonts w:hint="eastAsia" w:hAnsi="宋体" w:cs="宋体"/>
                <w:kern w:val="0"/>
                <w:sz w:val="21"/>
                <w:szCs w:val="21"/>
              </w:rPr>
              <w:t>4、善于沟通，有较强的主动服务意识，处事细致灵活。</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后台响应按需到场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4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风险管理员</w:t>
            </w:r>
          </w:p>
        </w:tc>
        <w:tc>
          <w:tcPr>
            <w:tcW w:w="240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负责风险识别，分类与管控，负责制定连续性计划，牵头执行并检查改进。</w:t>
            </w:r>
          </w:p>
        </w:tc>
        <w:tc>
          <w:tcPr>
            <w:tcW w:w="2976" w:type="dxa"/>
            <w:tcBorders>
              <w:top w:val="nil"/>
              <w:left w:val="nil"/>
              <w:bottom w:val="single" w:color="auto" w:sz="4" w:space="0"/>
              <w:right w:val="single" w:color="auto" w:sz="4" w:space="0"/>
            </w:tcBorders>
            <w:shd w:val="clear" w:color="auto" w:fill="auto"/>
            <w:vAlign w:val="center"/>
          </w:tcPr>
          <w:p>
            <w:pPr>
              <w:widowControl/>
              <w:numPr>
                <w:ilvl w:val="0"/>
                <w:numId w:val="88"/>
              </w:numPr>
              <w:spacing w:line="360" w:lineRule="exact"/>
              <w:jc w:val="left"/>
              <w:rPr>
                <w:rFonts w:hAnsi="宋体" w:cs="宋体"/>
                <w:kern w:val="0"/>
                <w:sz w:val="21"/>
                <w:szCs w:val="21"/>
              </w:rPr>
            </w:pPr>
            <w:r>
              <w:rPr>
                <w:rFonts w:hint="eastAsia" w:hAnsi="宋体" w:cs="宋体"/>
                <w:kern w:val="0"/>
                <w:sz w:val="21"/>
                <w:szCs w:val="21"/>
              </w:rPr>
              <w:t>对风险管理、安全评估等方面有一定的理论基础和实践经验，了解数据中心相关安全检查规范；</w:t>
            </w:r>
          </w:p>
          <w:p>
            <w:pPr>
              <w:widowControl/>
              <w:numPr>
                <w:ilvl w:val="0"/>
                <w:numId w:val="88"/>
              </w:numPr>
              <w:spacing w:line="360" w:lineRule="exact"/>
              <w:jc w:val="left"/>
              <w:rPr>
                <w:rFonts w:hAnsi="宋体" w:cs="宋体"/>
                <w:kern w:val="0"/>
                <w:sz w:val="21"/>
                <w:szCs w:val="21"/>
              </w:rPr>
            </w:pPr>
            <w:r>
              <w:rPr>
                <w:rFonts w:hint="eastAsia" w:hAnsi="宋体" w:cs="宋体"/>
                <w:kern w:val="0"/>
                <w:sz w:val="21"/>
                <w:szCs w:val="21"/>
              </w:rPr>
              <w:t>熟悉信息系统安全检查方法和流程，具有独立开展信息安全风险检查和制定信息安全风险管理规范的能力；</w:t>
            </w:r>
          </w:p>
          <w:p>
            <w:pPr>
              <w:widowControl/>
              <w:numPr>
                <w:ilvl w:val="0"/>
                <w:numId w:val="88"/>
              </w:numPr>
              <w:spacing w:line="360" w:lineRule="exact"/>
              <w:jc w:val="left"/>
              <w:rPr>
                <w:rFonts w:hAnsi="宋体" w:cs="宋体"/>
                <w:kern w:val="0"/>
                <w:sz w:val="21"/>
                <w:szCs w:val="21"/>
              </w:rPr>
            </w:pPr>
            <w:r>
              <w:rPr>
                <w:rFonts w:hint="eastAsia" w:hAnsi="宋体" w:cs="宋体"/>
                <w:kern w:val="0"/>
                <w:sz w:val="21"/>
                <w:szCs w:val="21"/>
              </w:rPr>
              <w:t>具备良好的学习能力、沟通和文字表达能力。</w:t>
            </w:r>
          </w:p>
        </w:tc>
        <w:tc>
          <w:tcPr>
            <w:tcW w:w="74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后台响应按需到场</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r>
      <w:tr>
        <w:tblPrEx>
          <w:tblCellMar>
            <w:top w:w="0" w:type="dxa"/>
            <w:left w:w="108" w:type="dxa"/>
            <w:bottom w:w="0" w:type="dxa"/>
            <w:right w:w="108" w:type="dxa"/>
          </w:tblCellMar>
        </w:tblPrEx>
        <w:tc>
          <w:tcPr>
            <w:tcW w:w="759"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四</w:t>
            </w:r>
          </w:p>
        </w:tc>
        <w:tc>
          <w:tcPr>
            <w:tcW w:w="7611" w:type="dxa"/>
            <w:gridSpan w:val="4"/>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实配人数合计：</w:t>
            </w:r>
          </w:p>
        </w:tc>
        <w:tc>
          <w:tcPr>
            <w:tcW w:w="81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34</w:t>
            </w:r>
          </w:p>
        </w:tc>
      </w:tr>
      <w:tr>
        <w:tblPrEx>
          <w:tblCellMar>
            <w:top w:w="0" w:type="dxa"/>
            <w:left w:w="108" w:type="dxa"/>
            <w:bottom w:w="0" w:type="dxa"/>
            <w:right w:w="108" w:type="dxa"/>
          </w:tblCellMar>
        </w:tblPrEx>
        <w:tc>
          <w:tcPr>
            <w:tcW w:w="9180" w:type="dxa"/>
            <w:gridSpan w:val="6"/>
            <w:tcBorders>
              <w:top w:val="single" w:color="auto" w:sz="4" w:space="0"/>
              <w:left w:val="double" w:color="auto" w:sz="6" w:space="0"/>
              <w:bottom w:val="double" w:color="auto" w:sz="6"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备注：</w:t>
            </w:r>
            <w:r>
              <w:rPr>
                <w:rFonts w:hint="eastAsia" w:hAnsi="宋体" w:cs="宋体"/>
                <w:kern w:val="0"/>
                <w:sz w:val="21"/>
                <w:szCs w:val="21"/>
              </w:rPr>
              <w:t>项目经理、运行主管、技术主管、值班长、值班工程师、电气工程师、暖通工程师、弱电消防系统工程师、技改工程师、IT与交付工程师、网络工程师、安全工程师、综合管理员等</w:t>
            </w:r>
            <w:r>
              <w:rPr>
                <w:rFonts w:hAnsi="宋体" w:cs="宋体"/>
                <w:kern w:val="0"/>
                <w:sz w:val="21"/>
                <w:szCs w:val="21"/>
              </w:rPr>
              <w:t>23人</w:t>
            </w:r>
            <w:r>
              <w:rPr>
                <w:rFonts w:hint="eastAsia" w:hAnsi="宋体" w:cs="宋体"/>
                <w:kern w:val="0"/>
                <w:sz w:val="21"/>
                <w:szCs w:val="21"/>
              </w:rPr>
              <w:t>需要驻点</w:t>
            </w:r>
          </w:p>
        </w:tc>
      </w:tr>
    </w:tbl>
    <w:p>
      <w:pPr>
        <w:pStyle w:val="7"/>
        <w:numPr>
          <w:ilvl w:val="4"/>
          <w:numId w:val="72"/>
        </w:numPr>
      </w:pPr>
      <w:r>
        <w:rPr>
          <w:rFonts w:hint="eastAsia"/>
        </w:rPr>
        <w:t>人员工具配备要求</w:t>
      </w:r>
    </w:p>
    <w:p>
      <w:pPr>
        <w:ind w:firstLine="480" w:firstLineChars="200"/>
        <w:rPr>
          <w:rFonts w:hAnsi="宋体" w:cs="Arial"/>
        </w:rPr>
      </w:pPr>
      <w:r>
        <w:rPr>
          <w:rFonts w:hint="eastAsia" w:hAnsi="宋体" w:cs="Arial"/>
        </w:rPr>
        <w:t>中标方应为运维团队人员配备日常运维所需的专业运维工具，不仅限于笔记本、测量仪器仪表、运维工具、电工工具等。</w:t>
      </w:r>
    </w:p>
    <w:p>
      <w:pPr>
        <w:pStyle w:val="7"/>
        <w:numPr>
          <w:ilvl w:val="4"/>
          <w:numId w:val="72"/>
        </w:numPr>
      </w:pPr>
      <w:r>
        <w:rPr>
          <w:rFonts w:hint="eastAsia"/>
        </w:rPr>
        <w:t>人员稳定性要求</w:t>
      </w:r>
    </w:p>
    <w:p>
      <w:pPr>
        <w:ind w:firstLine="480" w:firstLineChars="200"/>
        <w:rPr>
          <w:rFonts w:hAnsi="宋体" w:cs="Arial"/>
        </w:rPr>
      </w:pPr>
      <w:r>
        <w:rPr>
          <w:rFonts w:hint="eastAsia" w:hAnsi="宋体" w:cs="Arial"/>
        </w:rPr>
        <w:t>项目执行期间，服务提供单位所有项目参与人员的变更须按要求提前知会甲方并征得其同意。如果进行技术人员替换，必须以相应专业资质评定级别的人员进行替换。对于每次非甲方意愿的人员替换或者人员流动比例超限，将根据项目考核办法采取相应的处罚措施，以保证本次运维服务人员的稳定性。</w:t>
      </w:r>
    </w:p>
    <w:p>
      <w:pPr>
        <w:pStyle w:val="7"/>
        <w:numPr>
          <w:ilvl w:val="4"/>
          <w:numId w:val="72"/>
        </w:numPr>
      </w:pPr>
      <w:r>
        <w:rPr>
          <w:rFonts w:hint="eastAsia"/>
        </w:rPr>
        <w:t>人员驻点要求</w:t>
      </w:r>
    </w:p>
    <w:p>
      <w:pPr>
        <w:ind w:firstLine="480" w:firstLineChars="200"/>
        <w:rPr>
          <w:rFonts w:hAnsi="宋体" w:cs="Arial"/>
        </w:rPr>
      </w:pPr>
      <w:r>
        <w:rPr>
          <w:rFonts w:hint="eastAsia" w:hAnsi="宋体" w:cs="Arial"/>
        </w:rPr>
        <w:t>根据工作要求，值守工程师需派驻至在数字福建云计算中心（政务云）机房，其他全职人员由甲方指定的工作地点办公。</w:t>
      </w:r>
    </w:p>
    <w:p>
      <w:pPr>
        <w:pStyle w:val="7"/>
        <w:numPr>
          <w:ilvl w:val="4"/>
          <w:numId w:val="72"/>
        </w:numPr>
      </w:pPr>
      <w:r>
        <w:rPr>
          <w:rFonts w:hint="eastAsia"/>
        </w:rPr>
        <w:t>人员保障要求</w:t>
      </w:r>
    </w:p>
    <w:p>
      <w:pPr>
        <w:ind w:firstLine="480" w:firstLineChars="200"/>
        <w:rPr>
          <w:rFonts w:hAnsi="宋体" w:cs="Arial"/>
        </w:rPr>
      </w:pPr>
      <w:r>
        <w:rPr>
          <w:rFonts w:hint="eastAsia" w:hAnsi="宋体" w:cs="Arial"/>
        </w:rPr>
        <w:t>服务提供商应提供其安排在本次运维服务中的支撑服务人员的基本劳动保障。如因此产生的劳动纠纷由服务提供商全权负责，与甲方无关。</w:t>
      </w:r>
    </w:p>
    <w:p>
      <w:pPr>
        <w:pStyle w:val="6"/>
        <w:numPr>
          <w:ilvl w:val="3"/>
          <w:numId w:val="72"/>
        </w:numPr>
        <w:rPr>
          <w:color w:val="auto"/>
        </w:rPr>
      </w:pPr>
      <w:r>
        <w:rPr>
          <w:rFonts w:hint="eastAsia"/>
          <w:color w:val="auto"/>
        </w:rPr>
        <w:t>安全责任要求</w:t>
      </w:r>
    </w:p>
    <w:p>
      <w:pPr>
        <w:pStyle w:val="7"/>
        <w:numPr>
          <w:ilvl w:val="4"/>
          <w:numId w:val="72"/>
        </w:numPr>
      </w:pPr>
      <w:r>
        <w:rPr>
          <w:rFonts w:hint="eastAsia"/>
        </w:rPr>
        <w:t>信息安全管理要求概述</w:t>
      </w:r>
    </w:p>
    <w:p>
      <w:pPr>
        <w:ind w:firstLine="480" w:firstLineChars="200"/>
        <w:rPr>
          <w:rFonts w:hAnsi="宋体" w:cs="Arial"/>
        </w:rPr>
      </w:pPr>
      <w:r>
        <w:rPr>
          <w:rFonts w:hint="eastAsia" w:hAnsi="宋体" w:cs="Arial"/>
        </w:rPr>
        <w:t>数字福建计算中心（政务云）从机房划分上来区分分为托管区与数据云区。依照等保三级及以上的相关安全规定与措施加强安全管理。</w:t>
      </w:r>
    </w:p>
    <w:p>
      <w:pPr>
        <w:ind w:firstLine="480" w:firstLineChars="200"/>
        <w:rPr>
          <w:rFonts w:hAnsi="宋体" w:cs="Arial"/>
        </w:rPr>
      </w:pPr>
      <w:r>
        <w:rPr>
          <w:rFonts w:hint="eastAsia" w:hAnsi="宋体" w:cs="Arial"/>
        </w:rPr>
        <w:t>本次运维服务购买基础设施运维服务后，发生主体责任转移，基础设施运维团队（中标方）具体安全责任和要求如下表，表内未有体现转移的安全责任事项以及其他层面安全责任要求，由原责任主体负责或另项规划。</w:t>
      </w:r>
    </w:p>
    <w:p>
      <w:pPr>
        <w:pStyle w:val="11"/>
        <w:numPr>
          <w:ilvl w:val="8"/>
          <w:numId w:val="72"/>
        </w:numPr>
      </w:pPr>
      <w:bookmarkStart w:id="66" w:name="_Toc165045264"/>
      <w:r>
        <w:rPr>
          <w:rFonts w:hint="eastAsia"/>
        </w:rPr>
        <w:t>相关信息安全责任转移清单</w:t>
      </w:r>
      <w:bookmarkEnd w:id="66"/>
    </w:p>
    <w:tbl>
      <w:tblPr>
        <w:tblStyle w:val="75"/>
        <w:tblW w:w="9006" w:type="dxa"/>
        <w:tblInd w:w="0" w:type="dxa"/>
        <w:tblLayout w:type="autofit"/>
        <w:tblCellMar>
          <w:top w:w="0" w:type="dxa"/>
          <w:left w:w="108" w:type="dxa"/>
          <w:bottom w:w="0" w:type="dxa"/>
          <w:right w:w="108" w:type="dxa"/>
        </w:tblCellMar>
      </w:tblPr>
      <w:tblGrid>
        <w:gridCol w:w="686"/>
        <w:gridCol w:w="1080"/>
        <w:gridCol w:w="2836"/>
        <w:gridCol w:w="1985"/>
        <w:gridCol w:w="1701"/>
        <w:gridCol w:w="718"/>
      </w:tblGrid>
      <w:tr>
        <w:tblPrEx>
          <w:tblCellMar>
            <w:top w:w="0" w:type="dxa"/>
            <w:left w:w="108" w:type="dxa"/>
            <w:bottom w:w="0" w:type="dxa"/>
            <w:right w:w="108" w:type="dxa"/>
          </w:tblCellMar>
        </w:tblPrEx>
        <w:trPr>
          <w:tblHeader/>
        </w:trPr>
        <w:tc>
          <w:tcPr>
            <w:tcW w:w="686" w:type="dxa"/>
            <w:tcBorders>
              <w:top w:val="double" w:color="auto" w:sz="6" w:space="0"/>
              <w:left w:val="double" w:color="auto" w:sz="6" w:space="0"/>
              <w:bottom w:val="single" w:color="auto" w:sz="4" w:space="0"/>
              <w:right w:val="single" w:color="auto" w:sz="4" w:space="0"/>
            </w:tcBorders>
            <w:shd w:val="clear" w:color="000000" w:fill="BFBFBF"/>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080" w:type="dxa"/>
            <w:tcBorders>
              <w:top w:val="double" w:color="auto" w:sz="6" w:space="0"/>
              <w:left w:val="nil"/>
              <w:bottom w:val="single" w:color="auto" w:sz="4" w:space="0"/>
              <w:right w:val="single" w:color="auto" w:sz="4" w:space="0"/>
            </w:tcBorders>
            <w:shd w:val="clear" w:color="000000" w:fill="BEBEBE"/>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安全类别</w:t>
            </w:r>
          </w:p>
        </w:tc>
        <w:tc>
          <w:tcPr>
            <w:tcW w:w="2836" w:type="dxa"/>
            <w:tcBorders>
              <w:top w:val="double" w:color="auto" w:sz="6" w:space="0"/>
              <w:left w:val="nil"/>
              <w:bottom w:val="single" w:color="auto" w:sz="4" w:space="0"/>
              <w:right w:val="single" w:color="auto" w:sz="4" w:space="0"/>
            </w:tcBorders>
            <w:shd w:val="clear" w:color="000000" w:fill="BEBEBE"/>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要求</w:t>
            </w:r>
          </w:p>
        </w:tc>
        <w:tc>
          <w:tcPr>
            <w:tcW w:w="1985" w:type="dxa"/>
            <w:tcBorders>
              <w:top w:val="double" w:color="auto" w:sz="6" w:space="0"/>
              <w:left w:val="nil"/>
              <w:bottom w:val="single" w:color="auto" w:sz="4" w:space="0"/>
              <w:right w:val="single" w:color="auto" w:sz="4" w:space="0"/>
            </w:tcBorders>
            <w:shd w:val="clear" w:color="000000" w:fill="BEBEBE"/>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责任主体</w:t>
            </w:r>
          </w:p>
        </w:tc>
        <w:tc>
          <w:tcPr>
            <w:tcW w:w="1701" w:type="dxa"/>
            <w:tcBorders>
              <w:top w:val="double" w:color="auto" w:sz="6" w:space="0"/>
              <w:left w:val="nil"/>
              <w:bottom w:val="single" w:color="auto" w:sz="4" w:space="0"/>
              <w:right w:val="single" w:color="auto" w:sz="4" w:space="0"/>
            </w:tcBorders>
            <w:shd w:val="clear" w:color="000000" w:fill="BEBEBE"/>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监督、检查</w:t>
            </w:r>
          </w:p>
        </w:tc>
        <w:tc>
          <w:tcPr>
            <w:tcW w:w="718" w:type="dxa"/>
            <w:tcBorders>
              <w:top w:val="double" w:color="auto" w:sz="6" w:space="0"/>
              <w:left w:val="nil"/>
              <w:bottom w:val="single" w:color="auto" w:sz="4" w:space="0"/>
              <w:right w:val="double" w:color="auto" w:sz="6" w:space="0"/>
            </w:tcBorders>
            <w:shd w:val="clear" w:color="000000" w:fill="BEBEBE"/>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一</w:t>
            </w:r>
          </w:p>
        </w:tc>
        <w:tc>
          <w:tcPr>
            <w:tcW w:w="8320" w:type="dxa"/>
            <w:gridSpan w:val="5"/>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安全物理环境</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物理位置选择（G3）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a)机房场地应选择在具有防震、防风和防雨等能力的建筑内；</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b)机房场地应避免设在建筑物的顶层或地下室，否则应加强防水和防潮措施。</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0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物理访问控制（G3）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机房出入口应配置电子门禁系统，控制、鉴别和记录进入的人员；</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防盗窃和防破坏（G3）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a）应将设备或主要部件进行固定，并设置明显的不易除去的标识</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b）应将通信线缆铺设在隐蔽安全处</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c）应设置机房防盗报警系统或设置有专人值守的视频监控系统。</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防雷击（G3）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a)应将各类机柜、设施和设备等通过接地系统安全接地；</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b)应采取措施防止感应雷，例如设置防雷保安器活过压保护装置等。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防火（G3）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a)机房应设置火灾自动消防系统，能够自动检测火情、自动报警，并自动灭火；</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b)机房及相关的工作房间和辅助房应采用具有耐火等级的建筑材料；</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c)应对机房划分区域进行管理，区域和区域之间设置隔离防火措施。</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防水和防潮（G3）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a)应采取措施防止雨水通过机房窗户、屋顶和墙壁渗透；</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c)应采取措施防止机房内水蒸气结露和地下积水的转移与渗透；</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d)应安装对水敏感的检测仪表或元件，对机房进行防水检测和报警。</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防静电（G3）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a)应采用防静电地板或地面并采用必要的接地防静电措施；</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b)应采取措施防止静电的产生，例如采用静电消除器、佩戴防静电手环等。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08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温湿度控制（G3）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应设置温湿度自动调节设施，使机房温、湿度的变化在设备运行所允许的范围之内。</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电力供应（A3）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a)应在机房供电线路上配置稳压器和过电压防护设备；</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b)应提供短期的备用电力供应，至少满足主要设备在断电情况下的正常运行要求；</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c)应设置冗余或并行的电力电缆线路为计算机系统供电；</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电磁防护（S3）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a)电源线和通信线缆应隔离铺设，避免互相干扰；</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b)应对关键设备和磁介质实施电磁屏蔽。</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二</w:t>
            </w:r>
          </w:p>
        </w:tc>
        <w:tc>
          <w:tcPr>
            <w:tcW w:w="8320" w:type="dxa"/>
            <w:gridSpan w:val="5"/>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安全运维管理</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环境管理（G3）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a）应指定专门的部门或人员负责机房安全，对机房出入进行管理，定期对机房供配电、空调、温湿度控制、消防等设施进行维护管理；</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b)应建立机房安全管理制度，对有关物理访问、物品带进出和环境安全等方面的管理作出规定；</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c)应不在重要区域接待来访人员，不随意放置含有敏感信息的纸档文件和移动介质等。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资产管理（G3）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a）应编制并保存与保护对象相关的资产清单，包括责任部门、重要程度和所处位置等内容；</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b）应根据资产的重要程度对资产进行标识管理，根据资产的价值选择相应的管理措施；</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c）应对信息分类与标识方法作出规定，并对信息的使用、传输和存储进行规范化管理。</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设备维护管理（G3）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 应对各种设备（包括备份和冗余设备）、线路等指定专门的部门或人员定期进行维护管理；</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 应建立配套设施、软硬件维护方面的管理制度，对其维护进行有效的管理，包括明确维护人员的责任、维修和服务的审批、维修过程的监督控制等；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 信息处理设备应经过审批才能带离机房或办公地点，含有存储介质的设备带出工作环境时其中重要数据应加密；</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 含有存储介质的设备在报废或重用前，应进行完全清除或被安全覆盖，保证该设备上的敏感数据和授权软件无法被恢复重用。</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网络和系统安全管理（G3）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a)应划分不同的管理员角色进行网络和系统的运维管理，明确各个角色的责任和权限；</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b)应指定专门的部门或人员进行账户管理，对申请账户、建立账户、删除账户等进行控制；</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c）应建立网络和系统安全管理制度，对安全策略、账户管理、配置管理、日志管理、日常操作、升级与打补丁、口令更新周期等方面做出规定；</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d）应制定重要设备的配置和操作手册，依据手册对设备进行安全配置和优化配置等；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e)应详细记录运维操作日志，包括日常巡检工作、运行维护记录、参数的设置和修改等内容；</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f)应指定专门的部门或人员对日志、监测和报警数据等进行分析、统计，及时发现可疑行为；</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g)应严格控制变更性运维，经过审批后才可改变连接、安装系统组件或调整配置参数，操作过程中应保留不可更改的审计日志，操作结束后应同步更新配置信息库；</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h)应严格控制运维工具的使用，经过审批后才可接入进行操作，操作过程中应保留不可更改的审计日志，操作结束后应删除工具中的敏感数据；</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i）应严格控制远程运维的开通，经过审批后才可开通远程运维接口或通道，操作过程中应保留不可更改的审计日志，操作结束后立即关闭接口或通道；</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j)应保证所有与外部的连接均得到授权和批准，应定期检查违反规定无线上网及其他违反网络安全策略的行为。</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安全事件处置（G3）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 应及时向安全管理部门报告所发现的安全弱点和可疑事件；</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 应制定安全事件报告和处置管理制度，明确不同安全事件的报告、处置和响应流程，规定安全事件的现场处理、事件报告和后期恢复的管理职责等；</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 应在安全事件报告和响应处理过程中，分析和鉴定事件产生的原因，收集证据，记录处理过程，总结经验教训；</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 对造成系统中断和造成信息泄漏的重大安全事件应采用不同的处理程序和报告程序。</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08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应急预案管理（G3）</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 应规定统一的应急预案框架，包括启动预案的条件、应急组织构成、应急资源保障、事后教育和培训等内容；</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 应制定重要事件的应急预案，包括应急处理流程、系统恢复流程等内容；</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 应定期对系统相关的人员进行应急预案培训，并进行应急预案的演练；</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 应定期对原有的应急预案重新评估，修订完善。</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三</w:t>
            </w:r>
          </w:p>
        </w:tc>
        <w:tc>
          <w:tcPr>
            <w:tcW w:w="8320" w:type="dxa"/>
            <w:gridSpan w:val="5"/>
            <w:tcBorders>
              <w:top w:val="single" w:color="auto" w:sz="4" w:space="0"/>
              <w:left w:val="nil"/>
              <w:bottom w:val="single" w:color="auto" w:sz="4" w:space="0"/>
              <w:right w:val="double" w:color="000000" w:sz="6"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运维信息系统安全</w:t>
            </w:r>
          </w:p>
        </w:tc>
      </w:tr>
      <w:tr>
        <w:tblPrEx>
          <w:tblCellMar>
            <w:top w:w="0" w:type="dxa"/>
            <w:left w:w="108" w:type="dxa"/>
            <w:bottom w:w="0" w:type="dxa"/>
            <w:right w:w="108" w:type="dxa"/>
          </w:tblCellMar>
        </w:tblPrEx>
        <w:tc>
          <w:tcPr>
            <w:tcW w:w="686"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080"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运维信息系统安全</w:t>
            </w: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a)应根据所约定的服务范围，执行首次技术设施安全评估，评估关键技术设施所存在的安全隐患；</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single" w:color="auto" w:sz="4" w:space="0"/>
              <w:left w:val="single" w:color="auto" w:sz="4" w:space="0"/>
              <w:bottom w:val="single" w:color="auto" w:sz="4" w:space="0"/>
              <w:right w:val="double" w:color="000000"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b)应根据首次技术设施安全评估的结果，制定加固方案，沟通并最终对关键技术设施进行安全加固；</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single" w:color="auto" w:sz="4" w:space="0"/>
              <w:left w:val="single" w:color="auto" w:sz="4" w:space="0"/>
              <w:bottom w:val="single" w:color="auto" w:sz="4" w:space="0"/>
              <w:right w:val="double" w:color="000000"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c)应定期执行技术设施安全评估，针对评估所发现的安全隐患，提出改进建议，并指导系统管理人员进行安全加固；</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single" w:color="auto" w:sz="4" w:space="0"/>
              <w:left w:val="single" w:color="auto" w:sz="4" w:space="0"/>
              <w:bottom w:val="single" w:color="auto" w:sz="4" w:space="0"/>
              <w:right w:val="double" w:color="000000"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d)当被服务单位的主机或网络正遭到攻击或已经发现遭受入侵的迹象时，及时进行应急响应，分析事故原因并防止损失扩大；</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single" w:color="auto" w:sz="4" w:space="0"/>
              <w:left w:val="single" w:color="auto" w:sz="4" w:space="0"/>
              <w:bottom w:val="single" w:color="auto" w:sz="4" w:space="0"/>
              <w:right w:val="double" w:color="000000"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转移</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08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83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e)在服务期内，及时跟踪并提供安全漏洞及补丁信息或相应安全建议。</w:t>
            </w:r>
          </w:p>
        </w:tc>
        <w:tc>
          <w:tcPr>
            <w:tcW w:w="1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基础设施运维团队（中标方）</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省经济信息中心</w:t>
            </w:r>
          </w:p>
        </w:tc>
        <w:tc>
          <w:tcPr>
            <w:tcW w:w="718" w:type="dxa"/>
            <w:tcBorders>
              <w:top w:val="single" w:color="auto" w:sz="4" w:space="0"/>
              <w:left w:val="single" w:color="auto" w:sz="4" w:space="0"/>
              <w:bottom w:val="single" w:color="auto" w:sz="4" w:space="0"/>
              <w:right w:val="double" w:color="000000"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转移</w:t>
            </w:r>
          </w:p>
        </w:tc>
      </w:tr>
    </w:tbl>
    <w:p>
      <w:pPr>
        <w:ind w:firstLine="480" w:firstLineChars="200"/>
        <w:rPr>
          <w:rFonts w:hAnsi="宋体" w:cs="Arial"/>
        </w:rPr>
      </w:pPr>
      <w:r>
        <w:rPr>
          <w:rFonts w:hint="eastAsia" w:hAnsi="宋体" w:cs="Arial"/>
        </w:rPr>
        <w:t>基础运维团队（中标方）需按以上相关信息安全责任转移清单要求履行安全责任，中标后甲方可与中标方根据等保2.0要求对上述清单做进一步调整。</w:t>
      </w:r>
    </w:p>
    <w:p>
      <w:pPr>
        <w:pStyle w:val="7"/>
        <w:numPr>
          <w:ilvl w:val="4"/>
          <w:numId w:val="72"/>
        </w:numPr>
      </w:pPr>
      <w:r>
        <w:rPr>
          <w:rFonts w:hint="eastAsia"/>
        </w:rPr>
        <w:t>信息安全管理和保障办法</w:t>
      </w:r>
    </w:p>
    <w:p>
      <w:pPr>
        <w:pStyle w:val="135"/>
        <w:numPr>
          <w:ilvl w:val="2"/>
          <w:numId w:val="89"/>
        </w:numPr>
        <w:ind w:left="0" w:firstLine="480"/>
        <w:rPr>
          <w:rFonts w:hAnsi="宋体" w:cs="Arial"/>
        </w:rPr>
      </w:pPr>
      <w:r>
        <w:rPr>
          <w:rFonts w:hint="eastAsia" w:hAnsi="宋体" w:cs="Arial"/>
        </w:rPr>
        <w:t>按照“谁主管谁负责、谁运行谁负责”的原则，各团队在其职责范围内，负责数据中心计算机信息系统的安全和保密管理。</w:t>
      </w:r>
    </w:p>
    <w:p>
      <w:pPr>
        <w:pStyle w:val="135"/>
        <w:numPr>
          <w:ilvl w:val="0"/>
          <w:numId w:val="89"/>
        </w:numPr>
        <w:ind w:firstLine="480"/>
        <w:rPr>
          <w:rFonts w:hAnsi="宋体" w:cs="Arial"/>
        </w:rPr>
      </w:pPr>
      <w:r>
        <w:rPr>
          <w:rFonts w:hint="eastAsia" w:hAnsi="宋体" w:cs="Arial"/>
        </w:rPr>
        <w:t>运维服务提供单位应当明确一名主要领导负责计算机信息系统安全和保密工作，指定一个工作机构具体负责计算机信息系统安全和保密综合管理。相关工作组应当指定一名信息安全保密员。</w:t>
      </w:r>
    </w:p>
    <w:p>
      <w:pPr>
        <w:pStyle w:val="135"/>
        <w:numPr>
          <w:ilvl w:val="0"/>
          <w:numId w:val="89"/>
        </w:numPr>
        <w:ind w:firstLine="480"/>
        <w:rPr>
          <w:rFonts w:hAnsi="宋体" w:cs="Arial"/>
        </w:rPr>
      </w:pPr>
      <w:r>
        <w:rPr>
          <w:rFonts w:hint="eastAsia" w:hAnsi="宋体" w:cs="Arial"/>
        </w:rPr>
        <w:t>运维工作相关计算机的使用管理应当符合下列要求：</w:t>
      </w:r>
    </w:p>
    <w:p>
      <w:pPr>
        <w:pStyle w:val="135"/>
        <w:numPr>
          <w:ilvl w:val="0"/>
          <w:numId w:val="90"/>
        </w:numPr>
        <w:ind w:left="0" w:firstLine="420" w:firstLineChars="175"/>
        <w:rPr>
          <w:rFonts w:hAnsi="宋体" w:cs="Arial"/>
        </w:rPr>
      </w:pPr>
      <w:r>
        <w:rPr>
          <w:rFonts w:hint="eastAsia" w:hAnsi="宋体" w:cs="Arial"/>
        </w:rPr>
        <w:t>对计算机及软件安装情况进行登记备案，定期核查；</w:t>
      </w:r>
    </w:p>
    <w:p>
      <w:pPr>
        <w:pStyle w:val="135"/>
        <w:numPr>
          <w:ilvl w:val="0"/>
          <w:numId w:val="90"/>
        </w:numPr>
        <w:ind w:left="0" w:firstLine="420" w:firstLineChars="175"/>
        <w:rPr>
          <w:rFonts w:hAnsi="宋体" w:cs="Arial"/>
        </w:rPr>
      </w:pPr>
      <w:r>
        <w:rPr>
          <w:rFonts w:hint="eastAsia" w:hAnsi="宋体" w:cs="Arial"/>
        </w:rPr>
        <w:t>设置开机口令，长度不得少于 8 个字符，并定期更换，防止口令被盗；</w:t>
      </w:r>
    </w:p>
    <w:p>
      <w:pPr>
        <w:pStyle w:val="135"/>
        <w:numPr>
          <w:ilvl w:val="0"/>
          <w:numId w:val="90"/>
        </w:numPr>
        <w:ind w:left="0" w:firstLine="420" w:firstLineChars="175"/>
        <w:rPr>
          <w:rFonts w:hAnsi="宋体" w:cs="Arial"/>
        </w:rPr>
      </w:pPr>
      <w:r>
        <w:rPr>
          <w:rFonts w:hint="eastAsia" w:hAnsi="宋体" w:cs="Arial"/>
        </w:rPr>
        <w:t>安装防病毒等安全防护软件，并及时进行升级；及时更新操作系统补丁程序；</w:t>
      </w:r>
    </w:p>
    <w:p>
      <w:pPr>
        <w:pStyle w:val="135"/>
        <w:numPr>
          <w:ilvl w:val="0"/>
          <w:numId w:val="90"/>
        </w:numPr>
        <w:ind w:left="0" w:firstLine="420" w:firstLineChars="175"/>
        <w:rPr>
          <w:rFonts w:hAnsi="宋体" w:cs="Arial"/>
        </w:rPr>
      </w:pPr>
      <w:r>
        <w:rPr>
          <w:rFonts w:hint="eastAsia" w:hAnsi="宋体" w:cs="Arial"/>
        </w:rPr>
        <w:t>不得安装、运行、使用与工作无关的软件；</w:t>
      </w:r>
    </w:p>
    <w:p>
      <w:pPr>
        <w:pStyle w:val="135"/>
        <w:numPr>
          <w:ilvl w:val="0"/>
          <w:numId w:val="90"/>
        </w:numPr>
        <w:ind w:left="0" w:firstLine="420" w:firstLineChars="175"/>
        <w:rPr>
          <w:rFonts w:hAnsi="宋体" w:cs="Arial"/>
        </w:rPr>
      </w:pPr>
      <w:r>
        <w:rPr>
          <w:rFonts w:hint="eastAsia" w:hAnsi="宋体" w:cs="Arial"/>
        </w:rPr>
        <w:t>严禁同一计算机既上互联网又处理涉密信息；</w:t>
      </w:r>
    </w:p>
    <w:p>
      <w:pPr>
        <w:pStyle w:val="135"/>
        <w:numPr>
          <w:ilvl w:val="0"/>
          <w:numId w:val="90"/>
        </w:numPr>
        <w:ind w:left="0" w:firstLine="420" w:firstLineChars="175"/>
        <w:rPr>
          <w:rFonts w:hAnsi="宋体" w:cs="Arial"/>
        </w:rPr>
      </w:pPr>
      <w:r>
        <w:rPr>
          <w:rFonts w:hint="eastAsia" w:hAnsi="宋体" w:cs="Arial"/>
        </w:rPr>
        <w:t>严禁使用含有无线网卡、无线鼠标、无线键盘等具有无线互联功能的设备处理涉密信息；</w:t>
      </w:r>
    </w:p>
    <w:p>
      <w:pPr>
        <w:pStyle w:val="135"/>
        <w:numPr>
          <w:ilvl w:val="0"/>
          <w:numId w:val="90"/>
        </w:numPr>
        <w:ind w:left="0" w:firstLine="420" w:firstLineChars="175"/>
        <w:rPr>
          <w:rFonts w:hAnsi="宋体" w:cs="Arial"/>
        </w:rPr>
      </w:pPr>
      <w:r>
        <w:rPr>
          <w:rFonts w:hint="eastAsia" w:hAnsi="宋体" w:cs="Arial"/>
        </w:rPr>
        <w:t>严禁将涉密计算机带到与工作无关的场所。</w:t>
      </w:r>
    </w:p>
    <w:p>
      <w:pPr>
        <w:pStyle w:val="135"/>
        <w:numPr>
          <w:ilvl w:val="0"/>
          <w:numId w:val="89"/>
        </w:numPr>
        <w:ind w:firstLine="480"/>
        <w:rPr>
          <w:rFonts w:hAnsi="宋体" w:cs="Arial"/>
        </w:rPr>
      </w:pPr>
      <w:r>
        <w:rPr>
          <w:rFonts w:hint="eastAsia" w:hAnsi="宋体" w:cs="Arial"/>
        </w:rPr>
        <w:t>运维工作相关移动存储设备的使用管理应当符合下列要求：</w:t>
      </w:r>
    </w:p>
    <w:p>
      <w:pPr>
        <w:ind w:firstLine="480" w:firstLineChars="200"/>
        <w:rPr>
          <w:rFonts w:hAnsi="宋体" w:cs="Arial"/>
        </w:rPr>
      </w:pPr>
      <w:r>
        <w:rPr>
          <w:rFonts w:hint="eastAsia" w:hAnsi="宋体" w:cs="Arial"/>
        </w:rPr>
        <w:t>（1）实行登记管理；</w:t>
      </w:r>
    </w:p>
    <w:p>
      <w:pPr>
        <w:ind w:firstLine="480" w:firstLineChars="200"/>
        <w:rPr>
          <w:rFonts w:hAnsi="宋体" w:cs="Arial"/>
        </w:rPr>
      </w:pPr>
      <w:r>
        <w:rPr>
          <w:rFonts w:hint="eastAsia" w:hAnsi="宋体" w:cs="Arial"/>
        </w:rPr>
        <w:t>（2）移动存储设备不得在涉密信息系统和非涉密信息系统间交叉使用，涉密移动存储设备不得在非涉密信息系统中使用；</w:t>
      </w:r>
    </w:p>
    <w:p>
      <w:pPr>
        <w:ind w:firstLine="480" w:firstLineChars="200"/>
        <w:rPr>
          <w:rFonts w:hAnsi="宋体" w:cs="Arial"/>
        </w:rPr>
      </w:pPr>
      <w:r>
        <w:rPr>
          <w:rFonts w:hint="eastAsia" w:hAnsi="宋体" w:cs="Arial"/>
        </w:rPr>
        <w:t>（3）移动存储设备在信息系统之前，应当查杀病毒、木马等恶意代码；</w:t>
      </w:r>
    </w:p>
    <w:p>
      <w:pPr>
        <w:ind w:firstLine="480" w:firstLineChars="200"/>
        <w:rPr>
          <w:rFonts w:hAnsi="宋体" w:cs="Arial"/>
        </w:rPr>
      </w:pPr>
      <w:r>
        <w:rPr>
          <w:rFonts w:hint="eastAsia" w:hAnsi="宋体" w:cs="Arial"/>
        </w:rPr>
        <w:t>（4）鼓励采用密码技术等对移动存储设备中的信息进行保护；</w:t>
      </w:r>
    </w:p>
    <w:p>
      <w:pPr>
        <w:ind w:firstLine="480" w:firstLineChars="200"/>
        <w:rPr>
          <w:rFonts w:hAnsi="宋体" w:cs="Arial"/>
        </w:rPr>
      </w:pPr>
      <w:r>
        <w:rPr>
          <w:rFonts w:hint="eastAsia" w:hAnsi="宋体" w:cs="Arial"/>
        </w:rPr>
        <w:t>（5）严禁将涉密存储设备带到与工作无关的场所。</w:t>
      </w:r>
    </w:p>
    <w:p>
      <w:pPr>
        <w:pStyle w:val="135"/>
        <w:numPr>
          <w:ilvl w:val="0"/>
          <w:numId w:val="89"/>
        </w:numPr>
        <w:ind w:firstLine="480"/>
        <w:rPr>
          <w:rFonts w:hAnsi="宋体" w:cs="Arial"/>
        </w:rPr>
      </w:pPr>
      <w:r>
        <w:rPr>
          <w:rFonts w:hint="eastAsia" w:hAnsi="宋体" w:cs="Arial"/>
        </w:rPr>
        <w:t>运维相关数据复制操作管理应当符合下列要求：</w:t>
      </w:r>
    </w:p>
    <w:p>
      <w:pPr>
        <w:ind w:firstLine="480" w:firstLineChars="200"/>
        <w:rPr>
          <w:rFonts w:hAnsi="宋体" w:cs="Arial"/>
        </w:rPr>
      </w:pPr>
      <w:r>
        <w:rPr>
          <w:rFonts w:hint="eastAsia" w:hAnsi="宋体" w:cs="Arial"/>
        </w:rPr>
        <w:t>（1）将互联网上的信息复制到处理内部信息的系统时，应当采取严格的技术防护措施，查杀病毒、木马等恶意代码，严防病毒等传播；</w:t>
      </w:r>
    </w:p>
    <w:p>
      <w:pPr>
        <w:ind w:firstLine="480" w:firstLineChars="200"/>
        <w:rPr>
          <w:rFonts w:hAnsi="宋体" w:cs="Arial"/>
        </w:rPr>
      </w:pPr>
      <w:r>
        <w:rPr>
          <w:rFonts w:hint="eastAsia" w:hAnsi="宋体" w:cs="Arial"/>
        </w:rPr>
        <w:t>（2）严格限制从互联网向涉密信息系统复制数据。确需复制的，应当严格按照国家有关保密标准执行；</w:t>
      </w:r>
    </w:p>
    <w:p>
      <w:pPr>
        <w:ind w:firstLine="480" w:firstLineChars="200"/>
        <w:rPr>
          <w:rFonts w:hAnsi="宋体" w:cs="Arial"/>
        </w:rPr>
      </w:pPr>
      <w:r>
        <w:rPr>
          <w:rFonts w:hint="eastAsia" w:hAnsi="宋体" w:cs="Arial"/>
        </w:rPr>
        <w:t>（3）不得使用移动存储设备从涉密计算机向非涉密计算机复制数据。确需复制的，应当采取严格的保密措施，防止泄密；</w:t>
      </w:r>
    </w:p>
    <w:p>
      <w:pPr>
        <w:ind w:firstLine="480" w:firstLineChars="200"/>
        <w:rPr>
          <w:rFonts w:hAnsi="宋体" w:cs="Arial"/>
        </w:rPr>
      </w:pPr>
      <w:r>
        <w:rPr>
          <w:rFonts w:hint="eastAsia" w:hAnsi="宋体" w:cs="Arial"/>
        </w:rPr>
        <w:t>（4）复制和传递涉密电子文档，应当严格按照复制和传递同等密级纸质文件的有关规定办理。</w:t>
      </w:r>
    </w:p>
    <w:p>
      <w:pPr>
        <w:pStyle w:val="135"/>
        <w:numPr>
          <w:ilvl w:val="0"/>
          <w:numId w:val="89"/>
        </w:numPr>
        <w:ind w:firstLine="480"/>
        <w:rPr>
          <w:rFonts w:hAnsi="宋体" w:cs="Arial"/>
        </w:rPr>
      </w:pPr>
      <w:r>
        <w:rPr>
          <w:rFonts w:hint="eastAsia" w:hAnsi="宋体" w:cs="Arial"/>
        </w:rPr>
        <w:t>处理内部信息的计算机及相关设备在变更用途时，应当使用能够有效删除数据的工具删除存储部件中的内部信息。</w:t>
      </w:r>
    </w:p>
    <w:p>
      <w:pPr>
        <w:pStyle w:val="135"/>
        <w:numPr>
          <w:ilvl w:val="0"/>
          <w:numId w:val="89"/>
        </w:numPr>
        <w:ind w:firstLine="480"/>
        <w:rPr>
          <w:rFonts w:hAnsi="宋体" w:cs="Arial"/>
        </w:rPr>
      </w:pPr>
      <w:r>
        <w:rPr>
          <w:rFonts w:hint="eastAsia" w:hAnsi="宋体" w:cs="Arial"/>
        </w:rPr>
        <w:t>涉密计算机及相关设备不再用于处理涉密信息或不再使用时，应当将涉密信息存储部件拆除或及时销毁。 涉密信息存储部件的销毁必须按照涉密载体销毁要求进行。</w:t>
      </w:r>
    </w:p>
    <w:p>
      <w:pPr>
        <w:pStyle w:val="135"/>
        <w:numPr>
          <w:ilvl w:val="0"/>
          <w:numId w:val="89"/>
        </w:numPr>
        <w:ind w:firstLine="480"/>
        <w:rPr>
          <w:rFonts w:hAnsi="宋体" w:cs="Arial"/>
        </w:rPr>
      </w:pPr>
      <w:r>
        <w:rPr>
          <w:rFonts w:hint="eastAsia" w:hAnsi="宋体" w:cs="Arial"/>
        </w:rPr>
        <w:t>加强对计算机使用人员的管理，开展经常性的保密教育培训，提高计算机使用人员的安全和保密意识与技能。</w:t>
      </w:r>
    </w:p>
    <w:p>
      <w:pPr>
        <w:pStyle w:val="135"/>
        <w:numPr>
          <w:ilvl w:val="0"/>
          <w:numId w:val="89"/>
        </w:numPr>
        <w:ind w:firstLine="480"/>
        <w:rPr>
          <w:rFonts w:hAnsi="宋体" w:cs="Arial"/>
        </w:rPr>
      </w:pPr>
      <w:r>
        <w:rPr>
          <w:rFonts w:hint="eastAsia" w:hAnsi="宋体" w:cs="Arial"/>
        </w:rPr>
        <w:t>运维服务提供单位需与所有参与运维服务的人员签订安全保密责任书，明确安全和保密要求与责任。</w:t>
      </w:r>
    </w:p>
    <w:p>
      <w:pPr>
        <w:pStyle w:val="135"/>
        <w:numPr>
          <w:ilvl w:val="0"/>
          <w:numId w:val="89"/>
        </w:numPr>
        <w:ind w:firstLine="480"/>
        <w:rPr>
          <w:rFonts w:hAnsi="宋体" w:cs="Arial"/>
        </w:rPr>
      </w:pPr>
      <w:r>
        <w:rPr>
          <w:rFonts w:hint="eastAsia" w:hAnsi="宋体" w:cs="Arial"/>
        </w:rPr>
        <w:t>所有参与运维服务的人员离岗离职，有关部门应当即时取消其计算机信息系统访问授权，收回计算机、移动存储设备等相关物品。</w:t>
      </w:r>
    </w:p>
    <w:p>
      <w:pPr>
        <w:pStyle w:val="135"/>
        <w:numPr>
          <w:ilvl w:val="0"/>
          <w:numId w:val="89"/>
        </w:numPr>
        <w:ind w:firstLine="480"/>
        <w:rPr>
          <w:rFonts w:hAnsi="宋体" w:cs="Arial"/>
        </w:rPr>
      </w:pPr>
      <w:r>
        <w:rPr>
          <w:rFonts w:hint="eastAsia" w:hAnsi="宋体" w:cs="Arial"/>
        </w:rPr>
        <w:t>运维服务提供单位要加强对本单位计算机信息系统安全和保密管理情况的监督，定期开展检查，发现问题及时纠正。</w:t>
      </w:r>
    </w:p>
    <w:p>
      <w:pPr>
        <w:pStyle w:val="135"/>
        <w:numPr>
          <w:ilvl w:val="0"/>
          <w:numId w:val="89"/>
        </w:numPr>
        <w:ind w:firstLine="480"/>
        <w:rPr>
          <w:rFonts w:hAnsi="宋体" w:cs="Arial"/>
        </w:rPr>
      </w:pPr>
      <w:r>
        <w:rPr>
          <w:rFonts w:hint="eastAsia" w:hAnsi="宋体" w:cs="Arial"/>
        </w:rPr>
        <w:t>定期检查重点</w:t>
      </w:r>
    </w:p>
    <w:p>
      <w:pPr>
        <w:pStyle w:val="135"/>
        <w:numPr>
          <w:ilvl w:val="1"/>
          <w:numId w:val="91"/>
        </w:numPr>
        <w:ind w:left="0" w:firstLine="420" w:firstLineChars="175"/>
        <w:rPr>
          <w:rFonts w:hAnsi="宋体" w:cs="Arial"/>
        </w:rPr>
      </w:pPr>
      <w:r>
        <w:rPr>
          <w:rFonts w:hint="eastAsia" w:hAnsi="宋体" w:cs="Arial"/>
        </w:rPr>
        <w:t>安全管理情况，包括信息安全主管领导、信息安全管理部门、信息安全工作人员履职以及岗位责任情况等。</w:t>
      </w:r>
    </w:p>
    <w:p>
      <w:pPr>
        <w:pStyle w:val="135"/>
        <w:numPr>
          <w:ilvl w:val="0"/>
          <w:numId w:val="92"/>
        </w:numPr>
        <w:ind w:left="960" w:leftChars="250" w:hanging="360" w:hangingChars="150"/>
        <w:rPr>
          <w:rFonts w:hAnsi="宋体" w:cs="Arial"/>
        </w:rPr>
      </w:pPr>
      <w:r>
        <w:rPr>
          <w:rFonts w:hint="eastAsia" w:hAnsi="宋体" w:cs="Arial"/>
        </w:rPr>
        <w:t>信息安全主管领导明确及工作落实情况</w:t>
      </w:r>
    </w:p>
    <w:p>
      <w:pPr>
        <w:ind w:firstLine="480" w:firstLineChars="200"/>
        <w:rPr>
          <w:rFonts w:hAnsi="宋体" w:cs="Arial"/>
        </w:rPr>
      </w:pPr>
      <w:r>
        <w:rPr>
          <w:rFonts w:hint="eastAsia" w:hAnsi="宋体" w:cs="Arial"/>
        </w:rPr>
        <w:t>是否有领导分工等相关文件，是否明确了信息安全主管领导， 检查信息安全相关工作批示和会议记录等文件，了解主管领导工作落实情况。</w:t>
      </w:r>
    </w:p>
    <w:p>
      <w:pPr>
        <w:pStyle w:val="135"/>
        <w:numPr>
          <w:ilvl w:val="0"/>
          <w:numId w:val="92"/>
        </w:numPr>
        <w:ind w:left="960" w:leftChars="250" w:hanging="360" w:hangingChars="150"/>
        <w:rPr>
          <w:rFonts w:hAnsi="宋体" w:cs="Arial"/>
        </w:rPr>
      </w:pPr>
      <w:r>
        <w:rPr>
          <w:rFonts w:hint="eastAsia" w:hAnsi="宋体" w:cs="Arial"/>
        </w:rPr>
        <w:t>信息安全管理部门指定及工作落实情况</w:t>
      </w:r>
    </w:p>
    <w:p>
      <w:pPr>
        <w:ind w:firstLine="480" w:firstLineChars="200"/>
        <w:rPr>
          <w:rFonts w:hAnsi="宋体" w:cs="Arial"/>
        </w:rPr>
      </w:pPr>
      <w:r>
        <w:rPr>
          <w:rFonts w:hint="eastAsia" w:hAnsi="宋体" w:cs="Arial"/>
        </w:rPr>
        <w:t>检查部门分工文件，是否指定了信息安全管理部门。是否制定了工作计划、工作方案、管理规章制度、监督检查记录等文件，检查管理部门工作落实情况。</w:t>
      </w:r>
    </w:p>
    <w:p>
      <w:pPr>
        <w:pStyle w:val="135"/>
        <w:numPr>
          <w:ilvl w:val="0"/>
          <w:numId w:val="92"/>
        </w:numPr>
        <w:ind w:left="960" w:leftChars="250" w:hanging="360" w:hangingChars="150"/>
        <w:rPr>
          <w:rFonts w:hAnsi="宋体" w:cs="Arial"/>
        </w:rPr>
      </w:pPr>
      <w:r>
        <w:rPr>
          <w:rFonts w:hint="eastAsia" w:hAnsi="宋体" w:cs="Arial"/>
        </w:rPr>
        <w:t>信息安全工作人员配备及工作落实情况</w:t>
      </w:r>
    </w:p>
    <w:p>
      <w:pPr>
        <w:ind w:firstLine="480" w:firstLineChars="200"/>
        <w:rPr>
          <w:rFonts w:hAnsi="宋体" w:cs="Arial"/>
        </w:rPr>
      </w:pPr>
      <w:r>
        <w:rPr>
          <w:rFonts w:hint="eastAsia" w:hAnsi="宋体" w:cs="Arial"/>
        </w:rPr>
        <w:t>检查人员列表、岗位职责分工等文件，是否配备了信息安全工作人员。</w:t>
      </w:r>
    </w:p>
    <w:p>
      <w:pPr>
        <w:pStyle w:val="135"/>
        <w:numPr>
          <w:ilvl w:val="1"/>
          <w:numId w:val="91"/>
        </w:numPr>
        <w:ind w:left="0" w:firstLine="420" w:firstLineChars="175"/>
        <w:rPr>
          <w:rFonts w:hAnsi="宋体" w:cs="Arial"/>
        </w:rPr>
      </w:pPr>
      <w:r>
        <w:rPr>
          <w:rFonts w:hint="eastAsia" w:hAnsi="宋体" w:cs="Arial"/>
        </w:rPr>
        <w:t>日常安全管理制度建立和落实情况，包括检查人员管理、设备管理、运行维护管理情况等。</w:t>
      </w:r>
    </w:p>
    <w:p>
      <w:pPr>
        <w:pStyle w:val="135"/>
        <w:numPr>
          <w:ilvl w:val="0"/>
          <w:numId w:val="92"/>
        </w:numPr>
        <w:ind w:left="960" w:leftChars="250" w:hanging="360" w:hangingChars="150"/>
        <w:rPr>
          <w:rFonts w:hAnsi="宋体" w:cs="Arial"/>
        </w:rPr>
      </w:pPr>
      <w:r>
        <w:rPr>
          <w:rFonts w:hint="eastAsia" w:hAnsi="宋体" w:cs="Arial"/>
        </w:rPr>
        <w:t>人员管理制度</w:t>
      </w:r>
    </w:p>
    <w:p>
      <w:pPr>
        <w:ind w:firstLine="480" w:firstLineChars="200"/>
        <w:rPr>
          <w:rFonts w:hAnsi="宋体" w:cs="Arial"/>
        </w:rPr>
      </w:pPr>
      <w:r>
        <w:rPr>
          <w:rFonts w:hint="eastAsia" w:hAnsi="宋体" w:cs="Arial"/>
        </w:rPr>
        <w:t>检查人员管理制度文件，是否有岗位信息安全责任，人员离岗离职管理、外部人员来访管理等制度。检查人员离岗离职管理落实情况。</w:t>
      </w:r>
    </w:p>
    <w:p>
      <w:pPr>
        <w:pStyle w:val="135"/>
        <w:numPr>
          <w:ilvl w:val="0"/>
          <w:numId w:val="92"/>
        </w:numPr>
        <w:ind w:left="960" w:leftChars="250" w:hanging="360" w:hangingChars="150"/>
        <w:rPr>
          <w:rFonts w:hAnsi="宋体" w:cs="Arial"/>
        </w:rPr>
      </w:pPr>
      <w:r>
        <w:rPr>
          <w:rFonts w:hint="eastAsia" w:hAnsi="宋体" w:cs="Arial"/>
        </w:rPr>
        <w:t>设备管理制度</w:t>
      </w:r>
    </w:p>
    <w:p>
      <w:pPr>
        <w:ind w:firstLine="480" w:firstLineChars="200"/>
        <w:rPr>
          <w:rFonts w:hAnsi="宋体" w:cs="Arial"/>
        </w:rPr>
      </w:pPr>
      <w:r>
        <w:rPr>
          <w:rFonts w:hint="eastAsia" w:hAnsi="宋体" w:cs="Arial"/>
        </w:rPr>
        <w:t>检查设备管理制度等文件。是否有设备发放、使用、维修、维护和报废等相关制度，是否明确了相关管理责任人。 硬件设备登记情况，包括 PC机，路由器，交换机及其他主要设备。</w:t>
      </w:r>
    </w:p>
    <w:p>
      <w:pPr>
        <w:pStyle w:val="135"/>
        <w:numPr>
          <w:ilvl w:val="0"/>
          <w:numId w:val="92"/>
        </w:numPr>
        <w:ind w:left="960" w:leftChars="250" w:hanging="360" w:hangingChars="150"/>
        <w:rPr>
          <w:rFonts w:hAnsi="宋体" w:cs="Arial"/>
        </w:rPr>
      </w:pPr>
      <w:r>
        <w:rPr>
          <w:rFonts w:hint="eastAsia" w:hAnsi="宋体" w:cs="Arial"/>
        </w:rPr>
        <w:t>运行维护管理制度</w:t>
      </w:r>
    </w:p>
    <w:p>
      <w:pPr>
        <w:ind w:firstLine="480" w:firstLineChars="200"/>
        <w:rPr>
          <w:rFonts w:hAnsi="宋体" w:cs="Arial"/>
        </w:rPr>
      </w:pPr>
      <w:r>
        <w:rPr>
          <w:rFonts w:hint="eastAsia" w:hAnsi="宋体" w:cs="Arial"/>
        </w:rPr>
        <w:t>检查是否建立了运行维护管理等相关制度文件， 是否包含事故处理记录、数据维护情况等相关内容。检查运维操作手册和运维相关记录， 检查是否有事故处理记录、数据维护记录、运行维护管理制度落实情况及相关记录完整性。</w:t>
      </w:r>
    </w:p>
    <w:p>
      <w:pPr>
        <w:pStyle w:val="135"/>
        <w:numPr>
          <w:ilvl w:val="1"/>
          <w:numId w:val="91"/>
        </w:numPr>
        <w:ind w:left="0" w:firstLine="420" w:firstLineChars="175"/>
        <w:rPr>
          <w:rFonts w:hAnsi="宋体" w:cs="Arial"/>
        </w:rPr>
      </w:pPr>
      <w:r>
        <w:rPr>
          <w:rFonts w:hint="eastAsia" w:hAnsi="宋体" w:cs="Arial"/>
        </w:rPr>
        <w:t>应急处理及容灾备份情况，包括重点检查应急预案、应急演练和灾备措施情况。检查应急预案制定和修订情况。检查应急演练人员对预案的熟悉程度。检查冗余设备情况。</w:t>
      </w:r>
    </w:p>
    <w:p>
      <w:pPr>
        <w:pStyle w:val="135"/>
        <w:numPr>
          <w:ilvl w:val="0"/>
          <w:numId w:val="89"/>
        </w:numPr>
        <w:ind w:firstLine="480"/>
        <w:rPr>
          <w:rFonts w:hAnsi="宋体" w:cs="Arial"/>
        </w:rPr>
      </w:pPr>
      <w:r>
        <w:rPr>
          <w:rFonts w:hint="eastAsia" w:hAnsi="宋体" w:cs="Arial"/>
        </w:rPr>
        <w:t>服务提供单位要切实做好整改工作，对检查中发现的问题，要及时进行研究，采取有效措施加以整改。因条件不具备不能立即整改的，要制定整改计划、整改方案及整改时间表，并采取临时防范措施，确保网络与信息系统安全正常运行。要举一反三，在同类系统、同类设备中排查类似问题，切实提高信息系统安全防护水平。</w:t>
      </w:r>
    </w:p>
    <w:p>
      <w:pPr>
        <w:pStyle w:val="135"/>
        <w:numPr>
          <w:ilvl w:val="0"/>
          <w:numId w:val="89"/>
        </w:numPr>
        <w:ind w:firstLine="480"/>
        <w:rPr>
          <w:rFonts w:hAnsi="宋体" w:cs="Arial"/>
        </w:rPr>
      </w:pPr>
      <w:r>
        <w:rPr>
          <w:rFonts w:hint="eastAsia" w:hAnsi="宋体" w:cs="Arial"/>
        </w:rPr>
        <w:t>各部门在开展安全检查工作时，要明确相关工作纪律并严格执行。要识别检查中的安全风险，周密制定应急预案，强化风险控制措施，明确发生重大安全问题时的处置流程，确保被检查信息系统的正常运行。</w:t>
      </w:r>
    </w:p>
    <w:p>
      <w:pPr>
        <w:pStyle w:val="135"/>
        <w:numPr>
          <w:ilvl w:val="0"/>
          <w:numId w:val="89"/>
        </w:numPr>
        <w:ind w:firstLine="480"/>
        <w:rPr>
          <w:rFonts w:hAnsi="宋体" w:cs="Arial"/>
        </w:rPr>
      </w:pPr>
      <w:r>
        <w:rPr>
          <w:rFonts w:hint="eastAsia" w:hAnsi="宋体" w:cs="Arial"/>
        </w:rPr>
        <w:t>服务提供单位要高度重视保密工作，指定专人负责，对检查活动、检查实施人员以及相关文档和数据进行严格管理，确保检查工作中涉及到的商业秘密得到有效控制；对检查人员进行保密培训，确保检查工作中获知的信息不被泄露，检查数据和检查结果不向外透露。</w:t>
      </w:r>
    </w:p>
    <w:p>
      <w:pPr>
        <w:pStyle w:val="7"/>
        <w:numPr>
          <w:ilvl w:val="4"/>
          <w:numId w:val="72"/>
        </w:numPr>
      </w:pPr>
      <w:r>
        <w:rPr>
          <w:rFonts w:hint="eastAsia"/>
        </w:rPr>
        <w:t>重大安全责任事故处理机制</w:t>
      </w:r>
    </w:p>
    <w:p>
      <w:pPr>
        <w:pStyle w:val="135"/>
        <w:numPr>
          <w:ilvl w:val="0"/>
          <w:numId w:val="93"/>
        </w:numPr>
        <w:spacing w:before="120"/>
        <w:ind w:firstLine="482"/>
        <w:rPr>
          <w:rFonts w:hAnsi="宋体" w:cs="Arial"/>
          <w:b/>
          <w:bCs/>
        </w:rPr>
      </w:pPr>
      <w:r>
        <w:rPr>
          <w:rFonts w:hint="eastAsia" w:hAnsi="宋体" w:cs="Arial"/>
          <w:b/>
          <w:bCs/>
        </w:rPr>
        <w:t>基础设施运维相关重大信息安全事件</w:t>
      </w:r>
    </w:p>
    <w:p>
      <w:pPr>
        <w:ind w:firstLine="480" w:firstLineChars="200"/>
        <w:rPr>
          <w:rFonts w:hAnsi="宋体" w:cs="Arial"/>
        </w:rPr>
      </w:pPr>
      <w:r>
        <w:rPr>
          <w:rFonts w:hint="eastAsia" w:hAnsi="宋体" w:cs="Arial"/>
        </w:rPr>
        <w:t>机房安全事件指机房空调系统、电源系统、服务器设备、网络及消防等出现重大突发事件，造成机房物理环境或设备的严重损害。主要包括：</w:t>
      </w:r>
    </w:p>
    <w:p>
      <w:pPr>
        <w:pStyle w:val="135"/>
        <w:numPr>
          <w:ilvl w:val="1"/>
          <w:numId w:val="94"/>
        </w:numPr>
        <w:ind w:left="0" w:firstLine="420" w:firstLineChars="175"/>
        <w:rPr>
          <w:rFonts w:hAnsi="宋体" w:cs="Arial"/>
        </w:rPr>
      </w:pPr>
      <w:r>
        <w:rPr>
          <w:rFonts w:hint="eastAsia" w:hAnsi="宋体" w:cs="Arial"/>
        </w:rPr>
        <w:t>电气事件：电气设备漏电造成电击伤人，严重的引起火灾事件；</w:t>
      </w:r>
    </w:p>
    <w:p>
      <w:pPr>
        <w:pStyle w:val="135"/>
        <w:numPr>
          <w:ilvl w:val="1"/>
          <w:numId w:val="94"/>
        </w:numPr>
        <w:ind w:left="0" w:firstLine="420" w:firstLineChars="175"/>
        <w:rPr>
          <w:rFonts w:hAnsi="宋体" w:cs="Arial"/>
        </w:rPr>
      </w:pPr>
      <w:r>
        <w:rPr>
          <w:rFonts w:hint="eastAsia" w:hAnsi="宋体" w:cs="Arial"/>
        </w:rPr>
        <w:t>火灾事件：机房火灾造成网络设备、服务器等设备损毁；</w:t>
      </w:r>
    </w:p>
    <w:p>
      <w:pPr>
        <w:pStyle w:val="135"/>
        <w:numPr>
          <w:ilvl w:val="1"/>
          <w:numId w:val="94"/>
        </w:numPr>
        <w:ind w:left="0" w:firstLine="420" w:firstLineChars="175"/>
        <w:rPr>
          <w:rFonts w:hAnsi="宋体" w:cs="Arial"/>
        </w:rPr>
      </w:pPr>
      <w:r>
        <w:rPr>
          <w:rFonts w:hint="eastAsia" w:hAnsi="宋体" w:cs="Arial"/>
        </w:rPr>
        <w:t>电力系统事件：长时间电力故障，备用UPS电源无法继续供电，造成机房网络设备、服务器停止工作；</w:t>
      </w:r>
    </w:p>
    <w:p>
      <w:pPr>
        <w:pStyle w:val="135"/>
        <w:numPr>
          <w:ilvl w:val="1"/>
          <w:numId w:val="94"/>
        </w:numPr>
        <w:ind w:left="0" w:firstLine="420" w:firstLineChars="175"/>
        <w:rPr>
          <w:rFonts w:hAnsi="宋体" w:cs="Arial"/>
        </w:rPr>
      </w:pPr>
      <w:r>
        <w:rPr>
          <w:rFonts w:hint="eastAsia" w:hAnsi="宋体" w:cs="Arial"/>
        </w:rPr>
        <w:t>空调系统事件：空调系统故障，造成机房网络设备、服务器停止工作；</w:t>
      </w:r>
    </w:p>
    <w:p>
      <w:pPr>
        <w:pStyle w:val="135"/>
        <w:numPr>
          <w:ilvl w:val="1"/>
          <w:numId w:val="94"/>
        </w:numPr>
        <w:ind w:left="0" w:firstLine="420" w:firstLineChars="175"/>
        <w:rPr>
          <w:rFonts w:hAnsi="宋体" w:cs="Arial"/>
        </w:rPr>
      </w:pPr>
      <w:r>
        <w:rPr>
          <w:rFonts w:hint="eastAsia" w:hAnsi="宋体" w:cs="Arial"/>
        </w:rPr>
        <w:t>网络中断事件：指造成数据中心骨干网络中断2小时以上的网络事件。</w:t>
      </w:r>
    </w:p>
    <w:p>
      <w:pPr>
        <w:pStyle w:val="135"/>
        <w:numPr>
          <w:ilvl w:val="0"/>
          <w:numId w:val="93"/>
        </w:numPr>
        <w:spacing w:before="120"/>
        <w:ind w:firstLine="482"/>
        <w:rPr>
          <w:rFonts w:hAnsi="宋体" w:cs="Arial"/>
          <w:b/>
          <w:bCs/>
        </w:rPr>
      </w:pPr>
      <w:r>
        <w:rPr>
          <w:rFonts w:hint="eastAsia" w:hAnsi="宋体" w:cs="Arial"/>
          <w:b/>
          <w:bCs/>
        </w:rPr>
        <w:t>应急处置措施</w:t>
      </w:r>
    </w:p>
    <w:p>
      <w:pPr>
        <w:pStyle w:val="135"/>
        <w:numPr>
          <w:ilvl w:val="0"/>
          <w:numId w:val="95"/>
        </w:numPr>
        <w:ind w:left="0" w:firstLine="420" w:firstLineChars="175"/>
        <w:rPr>
          <w:rFonts w:hAnsi="宋体" w:cs="Arial"/>
        </w:rPr>
      </w:pPr>
      <w:r>
        <w:rPr>
          <w:rFonts w:hint="eastAsia" w:hAnsi="宋体" w:cs="Arial"/>
        </w:rPr>
        <w:t>统一领导，分工协作在甲方统一领导下，明确各相关单位职责，督促相关部门遵照“统一领导、归口负责、综合协调、各司其职”的原则，协同配合，有效地处理突发事件和应急情况。</w:t>
      </w:r>
    </w:p>
    <w:p>
      <w:pPr>
        <w:pStyle w:val="135"/>
        <w:numPr>
          <w:ilvl w:val="0"/>
          <w:numId w:val="95"/>
        </w:numPr>
        <w:ind w:left="0" w:firstLine="420" w:firstLineChars="175"/>
        <w:rPr>
          <w:rFonts w:hAnsi="宋体" w:cs="Arial"/>
        </w:rPr>
      </w:pPr>
      <w:r>
        <w:rPr>
          <w:rFonts w:hint="eastAsia" w:hAnsi="宋体" w:cs="Arial"/>
        </w:rPr>
        <w:t>明确责任，依法规范各相关单位，要按照“属地管理、分级响应、及时发现、及时报告、及时救治、及时控制”的要求，依法对信息安全突发事件进行防范、监测、预警、报告、响应、指挥、协调和控制。</w:t>
      </w:r>
    </w:p>
    <w:p>
      <w:pPr>
        <w:pStyle w:val="135"/>
        <w:numPr>
          <w:ilvl w:val="0"/>
          <w:numId w:val="95"/>
        </w:numPr>
        <w:ind w:left="0" w:firstLine="420" w:firstLineChars="175"/>
        <w:rPr>
          <w:rFonts w:hAnsi="宋体" w:cs="Arial"/>
        </w:rPr>
      </w:pPr>
      <w:r>
        <w:rPr>
          <w:rFonts w:hint="eastAsia" w:hAnsi="宋体" w:cs="Arial"/>
        </w:rPr>
        <w:t>统筹安排，协调配合统筹安排各相关单位应急工作任务，充分利用现有的信息安全服务设施和技术力量。各单位在明确职责的基础上，加强协调，密切配合，保障信息安全。</w:t>
      </w:r>
    </w:p>
    <w:p>
      <w:pPr>
        <w:pStyle w:val="135"/>
        <w:numPr>
          <w:ilvl w:val="0"/>
          <w:numId w:val="95"/>
        </w:numPr>
        <w:ind w:left="0" w:firstLine="420" w:firstLineChars="175"/>
        <w:rPr>
          <w:rFonts w:hAnsi="宋体" w:cs="Arial"/>
        </w:rPr>
      </w:pPr>
      <w:r>
        <w:rPr>
          <w:rFonts w:hint="eastAsia" w:hAnsi="宋体" w:cs="Arial"/>
        </w:rPr>
        <w:t>防范为主，加强监控贯彻预防为主的思想，树立常备不懈的观念，宣传普及信息安全防范知识，做好应对信息安全突发事件的思想准备、预案准备、机制准备和工作准备，提高公共防范意识以及基础网络和重要信息系统的信息安全综合保障水平。</w:t>
      </w:r>
    </w:p>
    <w:p>
      <w:pPr>
        <w:pStyle w:val="135"/>
        <w:numPr>
          <w:ilvl w:val="0"/>
          <w:numId w:val="95"/>
        </w:numPr>
        <w:ind w:left="0" w:firstLine="420" w:firstLineChars="175"/>
        <w:rPr>
          <w:rFonts w:hAnsi="宋体" w:cs="Arial"/>
        </w:rPr>
      </w:pPr>
      <w:r>
        <w:rPr>
          <w:rFonts w:hint="eastAsia" w:hAnsi="宋体" w:cs="Arial"/>
        </w:rPr>
        <w:t>快速处理，尽快恢复突发重大信息安全事件时，能够及时发现和预警，准确判断并及时采取有效措施，迅速控制事件影响程度和范围，确保信息系统尽快恢复正常，尽可能减少突发事件给政府带来的负面影响和损失。</w:t>
      </w:r>
    </w:p>
    <w:p>
      <w:pPr>
        <w:pStyle w:val="5"/>
        <w:numPr>
          <w:ilvl w:val="2"/>
          <w:numId w:val="72"/>
        </w:numPr>
      </w:pPr>
      <w:bookmarkStart w:id="67" w:name="_Toc734"/>
      <w:r>
        <w:rPr>
          <w:rFonts w:hint="eastAsia"/>
        </w:rPr>
        <w:t>日常监控巡检服务要求（项号4）</w:t>
      </w:r>
      <w:bookmarkEnd w:id="67"/>
    </w:p>
    <w:p>
      <w:pPr>
        <w:pStyle w:val="6"/>
        <w:numPr>
          <w:ilvl w:val="3"/>
          <w:numId w:val="72"/>
        </w:numPr>
        <w:rPr>
          <w:color w:val="auto"/>
        </w:rPr>
      </w:pPr>
      <w:r>
        <w:rPr>
          <w:rFonts w:hint="eastAsia"/>
          <w:color w:val="auto"/>
        </w:rPr>
        <w:t>值班监控服务(7×24小时</w:t>
      </w:r>
      <w:r>
        <w:rPr>
          <w:color w:val="auto"/>
        </w:rPr>
        <w:t>)</w:t>
      </w:r>
    </w:p>
    <w:p>
      <w:pPr>
        <w:ind w:firstLine="480" w:firstLineChars="200"/>
        <w:rPr>
          <w:rFonts w:hAnsi="宋体" w:cs="Arial"/>
        </w:rPr>
      </w:pPr>
      <w:r>
        <w:rPr>
          <w:rFonts w:hint="eastAsia" w:hAnsi="宋体" w:cs="Arial"/>
        </w:rPr>
        <w:t>中标方应组织其专业技术人员在集中监控中心利用数字福建云计算中心（政务云）环境动力监控系统对机房供配电系统、空调通风空调系统、数据中心温湿度环境、漏水监测和视频监控等进行7</w:t>
      </w:r>
      <w:r>
        <w:rPr>
          <w:rFonts w:hint="eastAsia"/>
        </w:rPr>
        <w:t>×</w:t>
      </w:r>
      <w:r>
        <w:rPr>
          <w:rFonts w:hint="eastAsia" w:hAnsi="宋体" w:cs="Arial"/>
        </w:rPr>
        <w:t>24小时不间断值班监控，保障数字福建云计算中心（政务云）运行正常。</w:t>
      </w:r>
    </w:p>
    <w:p>
      <w:pPr>
        <w:pStyle w:val="6"/>
        <w:numPr>
          <w:ilvl w:val="3"/>
          <w:numId w:val="72"/>
        </w:numPr>
        <w:rPr>
          <w:color w:val="auto"/>
        </w:rPr>
      </w:pPr>
      <w:r>
        <w:rPr>
          <w:rFonts w:hint="eastAsia"/>
          <w:color w:val="auto"/>
        </w:rPr>
        <w:t>日常巡检服务</w:t>
      </w:r>
    </w:p>
    <w:p>
      <w:pPr>
        <w:ind w:firstLine="480" w:firstLineChars="200"/>
        <w:rPr>
          <w:rFonts w:hAnsi="宋体" w:cs="Arial"/>
        </w:rPr>
      </w:pPr>
      <w:r>
        <w:rPr>
          <w:rFonts w:hint="eastAsia" w:hAnsi="宋体" w:cs="Arial"/>
        </w:rPr>
        <w:t>中标方应根据其专业能力和运维经验、相关体系规范要求并结合项目实际情况，合理设计日常巡检线路、频次和巡检内容，日常巡检内容包含但不限于如下：</w:t>
      </w:r>
    </w:p>
    <w:tbl>
      <w:tblPr>
        <w:tblStyle w:val="75"/>
        <w:tblW w:w="9049" w:type="dxa"/>
        <w:tblInd w:w="0" w:type="dxa"/>
        <w:tblLayout w:type="autofit"/>
        <w:tblCellMar>
          <w:top w:w="0" w:type="dxa"/>
          <w:left w:w="108" w:type="dxa"/>
          <w:bottom w:w="0" w:type="dxa"/>
          <w:right w:w="108" w:type="dxa"/>
        </w:tblCellMar>
      </w:tblPr>
      <w:tblGrid>
        <w:gridCol w:w="820"/>
        <w:gridCol w:w="2276"/>
        <w:gridCol w:w="5953"/>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jc w:val="center"/>
              <w:rPr>
                <w:rFonts w:hAnsi="宋体" w:cs="宋体"/>
                <w:b/>
                <w:bCs/>
                <w:kern w:val="0"/>
                <w:sz w:val="21"/>
                <w:szCs w:val="21"/>
              </w:rPr>
            </w:pPr>
            <w:r>
              <w:rPr>
                <w:rFonts w:hint="eastAsia" w:hAnsi="宋体" w:cs="宋体"/>
                <w:b/>
                <w:bCs/>
                <w:kern w:val="0"/>
                <w:sz w:val="21"/>
                <w:szCs w:val="21"/>
              </w:rPr>
              <w:t>序号</w:t>
            </w:r>
          </w:p>
        </w:tc>
        <w:tc>
          <w:tcPr>
            <w:tcW w:w="2276" w:type="dxa"/>
            <w:tcBorders>
              <w:top w:val="double" w:color="auto" w:sz="6" w:space="0"/>
              <w:left w:val="nil"/>
              <w:bottom w:val="single" w:color="auto" w:sz="4" w:space="0"/>
              <w:right w:val="single" w:color="auto" w:sz="4" w:space="0"/>
            </w:tcBorders>
            <w:shd w:val="clear" w:color="auto" w:fill="auto"/>
            <w:noWrap/>
            <w:vAlign w:val="center"/>
          </w:tcPr>
          <w:p>
            <w:pPr>
              <w:widowControl/>
              <w:jc w:val="center"/>
              <w:rPr>
                <w:rFonts w:hAnsi="宋体" w:cs="宋体"/>
                <w:b/>
                <w:bCs/>
                <w:kern w:val="0"/>
                <w:sz w:val="21"/>
                <w:szCs w:val="21"/>
              </w:rPr>
            </w:pPr>
            <w:r>
              <w:rPr>
                <w:rFonts w:hint="eastAsia" w:hAnsi="宋体" w:cs="宋体"/>
                <w:b/>
                <w:bCs/>
                <w:kern w:val="0"/>
                <w:sz w:val="21"/>
                <w:szCs w:val="21"/>
              </w:rPr>
              <w:t>系统</w:t>
            </w:r>
          </w:p>
        </w:tc>
        <w:tc>
          <w:tcPr>
            <w:tcW w:w="5953" w:type="dxa"/>
            <w:tcBorders>
              <w:top w:val="double" w:color="auto" w:sz="6" w:space="0"/>
              <w:left w:val="nil"/>
              <w:bottom w:val="single" w:color="auto" w:sz="4" w:space="0"/>
              <w:right w:val="double" w:color="auto" w:sz="6" w:space="0"/>
            </w:tcBorders>
            <w:shd w:val="clear" w:color="auto" w:fill="auto"/>
            <w:noWrap/>
            <w:vAlign w:val="center"/>
          </w:tcPr>
          <w:p>
            <w:pPr>
              <w:widowControl/>
              <w:jc w:val="center"/>
              <w:rPr>
                <w:rFonts w:hAnsi="宋体" w:cs="宋体"/>
                <w:b/>
                <w:bCs/>
                <w:kern w:val="0"/>
                <w:sz w:val="21"/>
                <w:szCs w:val="21"/>
              </w:rPr>
            </w:pPr>
            <w:r>
              <w:rPr>
                <w:rFonts w:hint="eastAsia" w:hAnsi="宋体" w:cs="宋体"/>
                <w:b/>
                <w:bCs/>
                <w:kern w:val="0"/>
                <w:sz w:val="21"/>
                <w:szCs w:val="21"/>
              </w:rPr>
              <w:t>子项</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000000" w:sz="4" w:space="0"/>
              <w:right w:val="single" w:color="auto" w:sz="4" w:space="0"/>
            </w:tcBorders>
            <w:shd w:val="clear" w:color="auto" w:fill="auto"/>
            <w:noWrap/>
            <w:vAlign w:val="center"/>
          </w:tcPr>
          <w:p>
            <w:pPr>
              <w:widowControl/>
              <w:jc w:val="center"/>
              <w:rPr>
                <w:rFonts w:hAnsi="宋体" w:cs="宋体"/>
                <w:kern w:val="0"/>
                <w:sz w:val="21"/>
                <w:szCs w:val="21"/>
              </w:rPr>
            </w:pPr>
            <w:r>
              <w:rPr>
                <w:rFonts w:hint="eastAsia" w:hAnsi="宋体" w:cs="宋体"/>
                <w:kern w:val="0"/>
                <w:sz w:val="21"/>
                <w:szCs w:val="21"/>
              </w:rPr>
              <w:t>1</w:t>
            </w:r>
          </w:p>
        </w:tc>
        <w:tc>
          <w:tcPr>
            <w:tcW w:w="22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电气系统</w:t>
            </w: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高压配电设备</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电力变压器</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低压配电设备</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不间断电源UPS</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防雷接地</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照明</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电缆和母线槽</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000000" w:sz="4" w:space="0"/>
              <w:right w:val="single" w:color="auto" w:sz="4" w:space="0"/>
            </w:tcBorders>
            <w:shd w:val="clear" w:color="auto" w:fill="auto"/>
            <w:noWrap/>
            <w:vAlign w:val="center"/>
          </w:tcPr>
          <w:p>
            <w:pPr>
              <w:widowControl/>
              <w:jc w:val="center"/>
              <w:rPr>
                <w:rFonts w:hAnsi="宋体" w:cs="宋体"/>
                <w:kern w:val="0"/>
                <w:sz w:val="21"/>
                <w:szCs w:val="21"/>
              </w:rPr>
            </w:pPr>
            <w:r>
              <w:rPr>
                <w:rFonts w:hint="eastAsia" w:hAnsi="宋体" w:cs="宋体"/>
                <w:kern w:val="0"/>
                <w:sz w:val="21"/>
                <w:szCs w:val="21"/>
              </w:rPr>
              <w:t>2</w:t>
            </w:r>
          </w:p>
        </w:tc>
        <w:tc>
          <w:tcPr>
            <w:tcW w:w="2276"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通风空调系统</w:t>
            </w: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冷源</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机房空调</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空调水系统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000000" w:sz="4"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single" w:color="auto" w:sz="4"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空调系统风机</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消防系统</w:t>
            </w: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消防系统</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noWrap/>
            <w:vAlign w:val="center"/>
          </w:tcPr>
          <w:p>
            <w:pPr>
              <w:widowControl/>
              <w:jc w:val="center"/>
              <w:rPr>
                <w:rFonts w:hAnsi="宋体" w:cs="宋体"/>
                <w:kern w:val="0"/>
                <w:sz w:val="21"/>
                <w:szCs w:val="21"/>
              </w:rPr>
            </w:pPr>
            <w:r>
              <w:rPr>
                <w:rFonts w:hint="eastAsia" w:hAnsi="宋体" w:cs="宋体"/>
                <w:kern w:val="0"/>
                <w:sz w:val="21"/>
                <w:szCs w:val="21"/>
              </w:rPr>
              <w:t>4</w:t>
            </w:r>
          </w:p>
        </w:tc>
        <w:tc>
          <w:tcPr>
            <w:tcW w:w="2276" w:type="dxa"/>
            <w:vMerge w:val="restart"/>
            <w:tcBorders>
              <w:top w:val="nil"/>
              <w:left w:val="single" w:color="auto" w:sz="4" w:space="0"/>
              <w:bottom w:val="double" w:color="000000" w:sz="6" w:space="0"/>
              <w:right w:val="single" w:color="auto" w:sz="4"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智能化系统</w:t>
            </w:r>
          </w:p>
        </w:tc>
        <w:tc>
          <w:tcPr>
            <w:tcW w:w="5953" w:type="dxa"/>
            <w:tcBorders>
              <w:top w:val="nil"/>
              <w:left w:val="nil"/>
              <w:bottom w:val="single" w:color="auto" w:sz="4"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入侵报警系统</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jc w:val="left"/>
              <w:rPr>
                <w:rFonts w:hAnsi="宋体" w:cs="宋体"/>
                <w:kern w:val="0"/>
                <w:sz w:val="21"/>
                <w:szCs w:val="21"/>
              </w:rPr>
            </w:pPr>
          </w:p>
        </w:tc>
        <w:tc>
          <w:tcPr>
            <w:tcW w:w="2276" w:type="dxa"/>
            <w:vMerge w:val="continue"/>
            <w:tcBorders>
              <w:top w:val="nil"/>
              <w:left w:val="single" w:color="auto" w:sz="4" w:space="0"/>
              <w:bottom w:val="double" w:color="000000" w:sz="6" w:space="0"/>
              <w:right w:val="single" w:color="auto" w:sz="4" w:space="0"/>
            </w:tcBorders>
            <w:vAlign w:val="center"/>
          </w:tcPr>
          <w:p>
            <w:pPr>
              <w:widowControl/>
              <w:jc w:val="left"/>
              <w:rPr>
                <w:rFonts w:hAnsi="宋体" w:cs="宋体"/>
                <w:kern w:val="0"/>
                <w:sz w:val="21"/>
                <w:szCs w:val="21"/>
              </w:rPr>
            </w:pPr>
          </w:p>
        </w:tc>
        <w:tc>
          <w:tcPr>
            <w:tcW w:w="5953" w:type="dxa"/>
            <w:tcBorders>
              <w:top w:val="nil"/>
              <w:left w:val="nil"/>
              <w:bottom w:val="double" w:color="auto" w:sz="6" w:space="0"/>
              <w:right w:val="double" w:color="auto" w:sz="6" w:space="0"/>
            </w:tcBorders>
            <w:shd w:val="clear" w:color="auto" w:fill="auto"/>
            <w:noWrap/>
            <w:vAlign w:val="center"/>
          </w:tcPr>
          <w:p>
            <w:pPr>
              <w:widowControl/>
              <w:jc w:val="left"/>
              <w:rPr>
                <w:rFonts w:hAnsi="宋体" w:cs="宋体"/>
                <w:kern w:val="0"/>
                <w:sz w:val="21"/>
                <w:szCs w:val="21"/>
              </w:rPr>
            </w:pPr>
            <w:r>
              <w:rPr>
                <w:rFonts w:hint="eastAsia" w:hAnsi="宋体" w:cs="宋体"/>
                <w:kern w:val="0"/>
                <w:sz w:val="21"/>
                <w:szCs w:val="21"/>
              </w:rPr>
              <w:t>视频监控系统</w:t>
            </w:r>
          </w:p>
        </w:tc>
      </w:tr>
    </w:tbl>
    <w:p>
      <w:pPr>
        <w:pStyle w:val="7"/>
        <w:numPr>
          <w:ilvl w:val="4"/>
          <w:numId w:val="72"/>
        </w:numPr>
      </w:pPr>
      <w:r>
        <w:rPr>
          <w:rFonts w:hint="eastAsia"/>
        </w:rPr>
        <w:t>电气系统日常巡检</w:t>
      </w:r>
    </w:p>
    <w:p>
      <w:pPr>
        <w:pStyle w:val="8"/>
        <w:numPr>
          <w:ilvl w:val="5"/>
          <w:numId w:val="72"/>
        </w:numPr>
      </w:pPr>
      <w:r>
        <w:rPr>
          <w:rFonts w:hint="eastAsia"/>
        </w:rPr>
        <w:t>工作要求及目标</w:t>
      </w:r>
    </w:p>
    <w:p>
      <w:pPr>
        <w:pStyle w:val="135"/>
        <w:numPr>
          <w:ilvl w:val="1"/>
          <w:numId w:val="96"/>
        </w:numPr>
        <w:ind w:left="0" w:firstLine="420" w:firstLineChars="175"/>
        <w:rPr>
          <w:rFonts w:hAnsi="宋体" w:cs="Arial"/>
        </w:rPr>
      </w:pPr>
      <w:r>
        <w:rPr>
          <w:rFonts w:hint="eastAsia" w:hAnsi="宋体" w:cs="Arial"/>
        </w:rPr>
        <w:t>电气系统运行应包括24小时值班、监控、日常巡检、运行操作、报警事件处理和制定现场运行规程等内容。</w:t>
      </w:r>
    </w:p>
    <w:p>
      <w:pPr>
        <w:pStyle w:val="135"/>
        <w:numPr>
          <w:ilvl w:val="1"/>
          <w:numId w:val="96"/>
        </w:numPr>
        <w:ind w:left="0" w:firstLine="420" w:firstLineChars="175"/>
        <w:rPr>
          <w:rFonts w:hAnsi="宋体" w:cs="Arial"/>
        </w:rPr>
      </w:pPr>
      <w:r>
        <w:rPr>
          <w:rFonts w:hint="eastAsia" w:hAnsi="宋体" w:cs="Arial"/>
        </w:rPr>
        <w:t>数据中心值班人员应持证上岗。</w:t>
      </w:r>
    </w:p>
    <w:p>
      <w:pPr>
        <w:pStyle w:val="135"/>
        <w:numPr>
          <w:ilvl w:val="1"/>
          <w:numId w:val="96"/>
        </w:numPr>
        <w:ind w:left="0" w:firstLine="420" w:firstLineChars="175"/>
        <w:rPr>
          <w:rFonts w:hAnsi="宋体" w:cs="Arial"/>
        </w:rPr>
      </w:pPr>
      <w:r>
        <w:rPr>
          <w:rFonts w:hint="eastAsia" w:hAnsi="宋体" w:cs="Arial"/>
        </w:rPr>
        <w:t>电气用房应保持空气流动畅通，环境整洁。</w:t>
      </w:r>
    </w:p>
    <w:p>
      <w:pPr>
        <w:pStyle w:val="135"/>
        <w:numPr>
          <w:ilvl w:val="1"/>
          <w:numId w:val="96"/>
        </w:numPr>
        <w:ind w:left="0" w:firstLine="420" w:firstLineChars="175"/>
        <w:rPr>
          <w:rFonts w:hAnsi="宋体" w:cs="Arial"/>
        </w:rPr>
      </w:pPr>
      <w:r>
        <w:rPr>
          <w:rFonts w:hint="eastAsia" w:hAnsi="宋体" w:cs="Arial"/>
        </w:rPr>
        <w:t>运行人员应按照巡视计划、周期、规定路线对电气设施和运行环境进行巡视巡检，巡检记录应及时、完整、详实。</w:t>
      </w:r>
    </w:p>
    <w:p>
      <w:pPr>
        <w:pStyle w:val="135"/>
        <w:numPr>
          <w:ilvl w:val="1"/>
          <w:numId w:val="96"/>
        </w:numPr>
        <w:ind w:left="0" w:firstLine="420" w:firstLineChars="175"/>
        <w:rPr>
          <w:rFonts w:hAnsi="宋体" w:cs="Arial"/>
        </w:rPr>
      </w:pPr>
      <w:r>
        <w:rPr>
          <w:rFonts w:hint="eastAsia" w:hAnsi="宋体" w:cs="Arial"/>
        </w:rPr>
        <w:t>运行人员应能判定报警事件的优先级。</w:t>
      </w:r>
    </w:p>
    <w:p>
      <w:pPr>
        <w:pStyle w:val="135"/>
        <w:numPr>
          <w:ilvl w:val="1"/>
          <w:numId w:val="96"/>
        </w:numPr>
        <w:ind w:left="0" w:firstLine="420" w:firstLineChars="175"/>
        <w:rPr>
          <w:rFonts w:hAnsi="宋体" w:cs="Arial"/>
        </w:rPr>
      </w:pPr>
      <w:r>
        <w:rPr>
          <w:rFonts w:hint="eastAsia" w:hAnsi="宋体" w:cs="Arial"/>
        </w:rPr>
        <w:t>应制定优化运行规程并根据实施情况持续更新。</w:t>
      </w:r>
    </w:p>
    <w:p>
      <w:pPr>
        <w:pStyle w:val="8"/>
        <w:numPr>
          <w:ilvl w:val="5"/>
          <w:numId w:val="72"/>
        </w:numPr>
      </w:pPr>
      <w:r>
        <w:rPr>
          <w:rFonts w:hint="eastAsia"/>
        </w:rPr>
        <w:t>详细内容及要求</w:t>
      </w:r>
    </w:p>
    <w:p>
      <w:pPr>
        <w:pStyle w:val="135"/>
        <w:numPr>
          <w:ilvl w:val="0"/>
          <w:numId w:val="97"/>
        </w:numPr>
        <w:spacing w:before="120"/>
        <w:ind w:firstLine="482"/>
        <w:rPr>
          <w:rFonts w:hAnsi="宋体" w:cs="Arial"/>
          <w:b/>
          <w:bCs/>
        </w:rPr>
      </w:pPr>
      <w:r>
        <w:rPr>
          <w:rFonts w:hint="eastAsia" w:hAnsi="宋体" w:cs="Arial"/>
          <w:b/>
          <w:bCs/>
        </w:rPr>
        <w:t>高压配电设备</w:t>
      </w:r>
    </w:p>
    <w:p>
      <w:pPr>
        <w:pStyle w:val="135"/>
        <w:numPr>
          <w:ilvl w:val="0"/>
          <w:numId w:val="98"/>
        </w:numPr>
        <w:ind w:left="0" w:firstLine="420" w:firstLineChars="175"/>
        <w:rPr>
          <w:rFonts w:hAnsi="宋体" w:cs="Arial"/>
        </w:rPr>
      </w:pPr>
      <w:r>
        <w:rPr>
          <w:rFonts w:hint="eastAsia" w:hAnsi="宋体" w:cs="Arial"/>
        </w:rPr>
        <w:t>高压配电设备应设置运行参数监控和报警系统，监控应包括但不限于《高压配电设备监控表》所列内容。</w:t>
      </w:r>
    </w:p>
    <w:p>
      <w:pPr>
        <w:pStyle w:val="11"/>
        <w:numPr>
          <w:ilvl w:val="8"/>
          <w:numId w:val="72"/>
        </w:numPr>
      </w:pPr>
      <w:bookmarkStart w:id="68" w:name="_Toc165045265"/>
      <w:r>
        <w:rPr>
          <w:rFonts w:hint="eastAsia"/>
        </w:rPr>
        <w:t>高压配电设备监控表</w:t>
      </w:r>
      <w:bookmarkEnd w:id="68"/>
    </w:p>
    <w:tbl>
      <w:tblPr>
        <w:tblStyle w:val="75"/>
        <w:tblW w:w="9050" w:type="dxa"/>
        <w:tblInd w:w="0" w:type="dxa"/>
        <w:tblLayout w:type="autofit"/>
        <w:tblCellMar>
          <w:top w:w="0" w:type="dxa"/>
          <w:left w:w="108" w:type="dxa"/>
          <w:bottom w:w="0" w:type="dxa"/>
          <w:right w:w="108" w:type="dxa"/>
        </w:tblCellMar>
      </w:tblPr>
      <w:tblGrid>
        <w:gridCol w:w="820"/>
        <w:gridCol w:w="2418"/>
        <w:gridCol w:w="5812"/>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812"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进线断路器柜</w:t>
            </w:r>
          </w:p>
        </w:tc>
        <w:tc>
          <w:tcPr>
            <w:tcW w:w="5812"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开关状态、电压、电流、频率、功率因数、有功功率、无功功率</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馈线柜（变压器柜）</w:t>
            </w:r>
          </w:p>
        </w:tc>
        <w:tc>
          <w:tcPr>
            <w:tcW w:w="5812"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开关状态、电流、功率因数、有功功率、无功功率</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母联断路器柜</w:t>
            </w:r>
          </w:p>
        </w:tc>
        <w:tc>
          <w:tcPr>
            <w:tcW w:w="5812"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开关状态、电流</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直流信号屏</w:t>
            </w:r>
          </w:p>
        </w:tc>
        <w:tc>
          <w:tcPr>
            <w:tcW w:w="5812"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开关状态、浮充电压、电流、操作电压、控制电压</w:t>
            </w:r>
          </w:p>
        </w:tc>
      </w:tr>
    </w:tbl>
    <w:p>
      <w:pPr>
        <w:pStyle w:val="135"/>
        <w:numPr>
          <w:ilvl w:val="0"/>
          <w:numId w:val="98"/>
        </w:numPr>
        <w:ind w:left="0" w:firstLine="420" w:firstLineChars="175"/>
        <w:rPr>
          <w:rFonts w:hAnsi="宋体" w:cs="Arial"/>
        </w:rPr>
      </w:pPr>
      <w:r>
        <w:rPr>
          <w:rFonts w:hint="eastAsia" w:hAnsi="宋体" w:cs="Arial"/>
        </w:rPr>
        <w:t>高压配电室或值班室内应建立数据中心供配电系统图。</w:t>
      </w:r>
    </w:p>
    <w:p>
      <w:pPr>
        <w:pStyle w:val="135"/>
        <w:numPr>
          <w:ilvl w:val="0"/>
          <w:numId w:val="98"/>
        </w:numPr>
        <w:ind w:left="0" w:firstLine="420" w:firstLineChars="175"/>
        <w:rPr>
          <w:rFonts w:hAnsi="宋体" w:cs="Arial"/>
        </w:rPr>
      </w:pPr>
      <w:r>
        <w:rPr>
          <w:rFonts w:hint="eastAsia" w:hAnsi="宋体" w:cs="Arial"/>
        </w:rPr>
        <w:t>应对配电设备进行标识，标识签应粘贴于设备显著位置，机房使用的供配电设备与非机房使用的供配电设备的标识应进行明确的颜色区分。</w:t>
      </w:r>
    </w:p>
    <w:p>
      <w:pPr>
        <w:pStyle w:val="135"/>
        <w:numPr>
          <w:ilvl w:val="0"/>
          <w:numId w:val="98"/>
        </w:numPr>
        <w:ind w:left="0" w:firstLine="420" w:firstLineChars="175"/>
        <w:rPr>
          <w:rFonts w:hAnsi="宋体" w:cs="Arial"/>
        </w:rPr>
      </w:pPr>
      <w:r>
        <w:rPr>
          <w:rFonts w:hint="eastAsia" w:hAnsi="宋体" w:cs="Arial"/>
        </w:rPr>
        <w:t>应对高压配电设备和运行环境进行巡检，数据中心重点设施设备每日现场检查次数不应少于2次，数据中心每日常规现场检查次数不应少于1次。日常巡检应包括但不限于《高压配电设备和运行环境巡检表》所列内容。</w:t>
      </w:r>
    </w:p>
    <w:p>
      <w:pPr>
        <w:pStyle w:val="11"/>
        <w:numPr>
          <w:ilvl w:val="8"/>
          <w:numId w:val="72"/>
        </w:numPr>
      </w:pPr>
      <w:bookmarkStart w:id="69" w:name="_Toc165045266"/>
      <w:r>
        <w:rPr>
          <w:rFonts w:hint="eastAsia"/>
        </w:rPr>
        <w:t>高压配电设备和运行环境巡检表</w:t>
      </w:r>
      <w:bookmarkEnd w:id="69"/>
    </w:p>
    <w:tbl>
      <w:tblPr>
        <w:tblStyle w:val="75"/>
        <w:tblW w:w="9049" w:type="dxa"/>
        <w:tblInd w:w="0" w:type="dxa"/>
        <w:tblLayout w:type="autofit"/>
        <w:tblCellMar>
          <w:top w:w="0" w:type="dxa"/>
          <w:left w:w="108" w:type="dxa"/>
          <w:bottom w:w="0" w:type="dxa"/>
          <w:right w:w="108" w:type="dxa"/>
        </w:tblCellMar>
      </w:tblPr>
      <w:tblGrid>
        <w:gridCol w:w="820"/>
        <w:gridCol w:w="2276"/>
        <w:gridCol w:w="5953"/>
      </w:tblGrid>
      <w:tr>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2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953"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高压配电室环境</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照明、室内温湿度、通风状况、整洁度、孔洞封堵是否完好等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开关柜整体外观检查</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柜体完整性（是否有变形、表面脱漆或腐蚀情况）；回路铭牌、标号及排列与设计相符；指示灯与仪表工作是否正常；安全锁具及操作工具是否完整</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开关柜、断路器</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有无异常声响、振动、过热、放电声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开关柜附近</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柜体周围有无异常气味</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开关状态及指示检查</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开关状态是否和运行要求相符合：主开关分/合状态；试验/工作状态、接地开关情况、带电指示、计量/测量仪表显示等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保护继电器检查</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保护继电器状态：工作电源正常、是否有报警信息、故障跳闸指示等</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276"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直流操作电源浮充电压</w:t>
            </w:r>
          </w:p>
        </w:tc>
        <w:tc>
          <w:tcPr>
            <w:tcW w:w="5953"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记录浮充电压</w:t>
            </w:r>
          </w:p>
        </w:tc>
      </w:tr>
    </w:tbl>
    <w:p>
      <w:pPr>
        <w:pStyle w:val="135"/>
        <w:numPr>
          <w:ilvl w:val="0"/>
          <w:numId w:val="98"/>
        </w:numPr>
        <w:ind w:left="0" w:firstLine="420" w:firstLineChars="175"/>
        <w:rPr>
          <w:rFonts w:hAnsi="宋体" w:cs="Arial"/>
        </w:rPr>
      </w:pPr>
      <w:r>
        <w:rPr>
          <w:rFonts w:hint="eastAsia" w:hAnsi="宋体" w:cs="Arial"/>
        </w:rPr>
        <w:t>运行人员发现高压配电设备异常、故障、报警等信号，应按照故障处理或通报流程及时通报、通知相关维护、维修人员，并建立事件单。故障和报警应包括但不限于《高压配电设备故障报警内容》所列内容如下：</w:t>
      </w:r>
    </w:p>
    <w:p>
      <w:pPr>
        <w:pStyle w:val="11"/>
        <w:numPr>
          <w:ilvl w:val="8"/>
          <w:numId w:val="72"/>
        </w:numPr>
      </w:pPr>
      <w:bookmarkStart w:id="70" w:name="_Toc165045267"/>
      <w:r>
        <w:rPr>
          <w:rFonts w:hint="eastAsia"/>
        </w:rPr>
        <w:t>高压配电设备故障报警表</w:t>
      </w:r>
      <w:bookmarkEnd w:id="70"/>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报警内容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进线断路器柜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过流跳闸告警、速断跳闸告警、接地跳闸告警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馈线柜（变压器柜）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过流跳闸告警、速断跳闸告警、接地跳闸告警、失压跳闸告警、变压器超温跳闸告警、变压器高温报警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母联断路器柜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过流跳闸告警、速断跳闸告警</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直流信号屏</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浮充电压高/低、控制电压高/低、操作柜充电机故障告警，电池有无漏液、鼓包等异常现象</w:t>
            </w:r>
          </w:p>
        </w:tc>
      </w:tr>
    </w:tbl>
    <w:p>
      <w:pPr>
        <w:pStyle w:val="135"/>
        <w:numPr>
          <w:ilvl w:val="0"/>
          <w:numId w:val="97"/>
        </w:numPr>
        <w:spacing w:before="120"/>
        <w:ind w:firstLine="482"/>
        <w:rPr>
          <w:rFonts w:hAnsi="宋体" w:cs="Arial"/>
          <w:b/>
          <w:bCs/>
        </w:rPr>
      </w:pPr>
      <w:r>
        <w:rPr>
          <w:rFonts w:hint="eastAsia" w:hAnsi="宋体" w:cs="Arial"/>
          <w:b/>
          <w:bCs/>
        </w:rPr>
        <w:t>电力变压器</w:t>
      </w:r>
    </w:p>
    <w:p>
      <w:pPr>
        <w:pStyle w:val="135"/>
        <w:numPr>
          <w:ilvl w:val="0"/>
          <w:numId w:val="99"/>
        </w:numPr>
        <w:ind w:left="0" w:firstLine="420" w:firstLineChars="175"/>
        <w:rPr>
          <w:rFonts w:hAnsi="宋体" w:cs="Arial"/>
        </w:rPr>
      </w:pPr>
      <w:r>
        <w:rPr>
          <w:rFonts w:hint="eastAsia" w:hAnsi="宋体" w:cs="Arial"/>
        </w:rPr>
        <w:t>变压器应设置运行参数监控和报警系统，监控应包括但不限于《变压器监控表》所列内容。</w:t>
      </w:r>
    </w:p>
    <w:p>
      <w:pPr>
        <w:pStyle w:val="11"/>
        <w:numPr>
          <w:ilvl w:val="8"/>
          <w:numId w:val="72"/>
        </w:numPr>
      </w:pPr>
      <w:bookmarkStart w:id="71" w:name="_Toc165045268"/>
      <w:r>
        <w:rPr>
          <w:rFonts w:hint="eastAsia"/>
        </w:rPr>
        <w:t>变压器监控表</w:t>
      </w:r>
      <w:bookmarkEnd w:id="71"/>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ascii="Times New Roman" w:eastAsia="等线"/>
                <w:kern w:val="0"/>
                <w:sz w:val="21"/>
                <w:szCs w:val="21"/>
              </w:rPr>
            </w:pPr>
            <w:r>
              <w:rPr>
                <w:rFonts w:ascii="Times New Roman" w:eastAsia="等线"/>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w:t>
            </w:r>
            <w:r>
              <w:rPr>
                <w:rFonts w:ascii="Times New Roman"/>
                <w:kern w:val="0"/>
                <w:sz w:val="21"/>
                <w:szCs w:val="21"/>
              </w:rPr>
              <w:t>/</w:t>
            </w:r>
            <w:r>
              <w:rPr>
                <w:rFonts w:hint="eastAsia" w:hAnsi="宋体" w:cs="宋体"/>
                <w:kern w:val="0"/>
                <w:sz w:val="21"/>
                <w:szCs w:val="21"/>
              </w:rPr>
              <w:t>低压侧负载</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w:t>
            </w:r>
            <w:r>
              <w:rPr>
                <w:rFonts w:ascii="Times New Roman"/>
                <w:kern w:val="0"/>
                <w:sz w:val="21"/>
                <w:szCs w:val="21"/>
              </w:rPr>
              <w:t>/</w:t>
            </w:r>
            <w:r>
              <w:rPr>
                <w:rFonts w:hint="eastAsia" w:hAnsi="宋体" w:cs="宋体"/>
                <w:kern w:val="0"/>
                <w:sz w:val="21"/>
                <w:szCs w:val="21"/>
              </w:rPr>
              <w:t>低压侧电压、电流、频率、功率因数、有功功率、无功功率、电能、电压谐波总畸变率、电流谐波总畸变率</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ascii="Times New Roman" w:eastAsia="等线"/>
                <w:kern w:val="0"/>
                <w:sz w:val="21"/>
                <w:szCs w:val="21"/>
              </w:rPr>
            </w:pPr>
            <w:r>
              <w:rPr>
                <w:rFonts w:ascii="Times New Roman" w:eastAsia="等线"/>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绕组温度</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温控器显示的绕组温度</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ascii="Times New Roman" w:eastAsia="等线"/>
                <w:kern w:val="0"/>
                <w:sz w:val="21"/>
                <w:szCs w:val="21"/>
              </w:rPr>
            </w:pPr>
            <w:r>
              <w:rPr>
                <w:rFonts w:ascii="Times New Roman" w:eastAsia="等线"/>
                <w:kern w:val="0"/>
                <w:sz w:val="21"/>
                <w:szCs w:val="21"/>
              </w:rPr>
              <w:t>3</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风扇开、关状态</w:t>
            </w:r>
          </w:p>
        </w:tc>
      </w:tr>
    </w:tbl>
    <w:p>
      <w:pPr>
        <w:pStyle w:val="135"/>
        <w:numPr>
          <w:ilvl w:val="0"/>
          <w:numId w:val="99"/>
        </w:numPr>
        <w:ind w:left="0" w:firstLine="420" w:firstLineChars="175"/>
        <w:rPr>
          <w:rFonts w:hAnsi="宋体" w:cs="Arial"/>
        </w:rPr>
      </w:pPr>
      <w:r>
        <w:rPr>
          <w:rFonts w:hint="eastAsia" w:hAnsi="宋体" w:cs="Arial"/>
        </w:rPr>
        <w:t>应对变压器进行标识，标识签应粘贴于设备显著位置。</w:t>
      </w:r>
    </w:p>
    <w:p>
      <w:pPr>
        <w:pStyle w:val="135"/>
        <w:numPr>
          <w:ilvl w:val="0"/>
          <w:numId w:val="99"/>
        </w:numPr>
        <w:ind w:left="0" w:firstLine="420" w:firstLineChars="175"/>
        <w:rPr>
          <w:rFonts w:hAnsi="宋体" w:cs="Arial"/>
        </w:rPr>
      </w:pPr>
      <w:r>
        <w:rPr>
          <w:rFonts w:hint="eastAsia" w:hAnsi="宋体" w:cs="Arial"/>
        </w:rPr>
        <w:t>应对变压器和运行环境进行巡检，每日现场检查次数不应少于2次。日常巡检应包括但不限于《变压器和运行环境日常巡检表》所列内容。</w:t>
      </w:r>
    </w:p>
    <w:p>
      <w:pPr>
        <w:pStyle w:val="11"/>
        <w:numPr>
          <w:ilvl w:val="8"/>
          <w:numId w:val="72"/>
        </w:numPr>
      </w:pPr>
      <w:bookmarkStart w:id="72" w:name="_Toc165045269"/>
      <w:r>
        <w:rPr>
          <w:rFonts w:hint="eastAsia"/>
        </w:rPr>
        <w:t>变压器和运行环境日常巡检表</w:t>
      </w:r>
      <w:bookmarkEnd w:id="72"/>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变压器室（配电室）环境</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照明、室内温湿度、通风状况、整洁度、孔洞封堵是否完好等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运行噪音</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均匀平稳，与之前相比无明显变化</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绕组温度</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温控器显示三相绕组温度均匀，数值符合当前负载水平，与温度报警阈值相比有一定裕量。无过温报警提示</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风扇运行状况</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风扇开启是否与运行要求相符合</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红外发热</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用红外测温枪或成像仪检查高压及低压电缆、母线连接处发热情况</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高低压侧负载电流</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高压侧三相电流平衡，低压侧三相电流不平衡率不超过10％</w:t>
            </w:r>
          </w:p>
        </w:tc>
      </w:tr>
    </w:tbl>
    <w:p>
      <w:pPr>
        <w:pStyle w:val="135"/>
        <w:numPr>
          <w:ilvl w:val="0"/>
          <w:numId w:val="99"/>
        </w:numPr>
        <w:ind w:left="0" w:firstLine="420" w:firstLineChars="175"/>
        <w:rPr>
          <w:rFonts w:hAnsi="宋体" w:cs="Arial"/>
        </w:rPr>
      </w:pPr>
      <w:r>
        <w:rPr>
          <w:rFonts w:hint="eastAsia" w:hAnsi="宋体" w:cs="Arial"/>
        </w:rPr>
        <w:t>运行人员发现变压设备异常、故障、报警等信号，应按照故障处理或通报流程及时通报、通知相关维护、维修人员，并建立事件单。故障和报警应包括但不限于《变压设备故障报警表》所列内容。</w:t>
      </w:r>
    </w:p>
    <w:p>
      <w:pPr>
        <w:pStyle w:val="11"/>
        <w:numPr>
          <w:ilvl w:val="8"/>
          <w:numId w:val="72"/>
        </w:numPr>
      </w:pPr>
      <w:bookmarkStart w:id="73" w:name="_Toc165045270"/>
      <w:r>
        <w:rPr>
          <w:rFonts w:hint="eastAsia"/>
        </w:rPr>
        <w:t>变压设备故障报警表</w:t>
      </w:r>
      <w:bookmarkEnd w:id="73"/>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jc w:val="center"/>
              <w:rPr>
                <w:rFonts w:hAnsi="宋体" w:cs="宋体"/>
                <w:b/>
                <w:bCs/>
                <w:kern w:val="0"/>
                <w:sz w:val="21"/>
                <w:szCs w:val="21"/>
              </w:rPr>
            </w:pPr>
            <w:r>
              <w:rPr>
                <w:rFonts w:hint="eastAsia" w:hAnsi="宋体" w:cs="宋体"/>
                <w:b/>
                <w:bCs/>
                <w:kern w:val="0"/>
                <w:sz w:val="21"/>
                <w:szCs w:val="21"/>
              </w:rPr>
              <w:t>报警内容</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double" w:color="auto" w:sz="6" w:space="0"/>
              <w:right w:val="single" w:color="auto" w:sz="4" w:space="0"/>
            </w:tcBorders>
            <w:shd w:val="clear" w:color="auto" w:fill="auto"/>
            <w:vAlign w:val="center"/>
          </w:tcPr>
          <w:p>
            <w:pPr>
              <w:widowControl/>
              <w:jc w:val="center"/>
              <w:rPr>
                <w:rFonts w:hAnsi="宋体" w:cs="宋体"/>
                <w:kern w:val="0"/>
                <w:sz w:val="21"/>
                <w:szCs w:val="21"/>
              </w:rPr>
            </w:pPr>
            <w:r>
              <w:rPr>
                <w:rFonts w:hint="eastAsia" w:hAnsi="宋体" w:cs="宋体"/>
                <w:kern w:val="0"/>
                <w:sz w:val="21"/>
                <w:szCs w:val="21"/>
              </w:rPr>
              <w:t>变压器</w:t>
            </w:r>
          </w:p>
        </w:tc>
        <w:tc>
          <w:tcPr>
            <w:tcW w:w="5670" w:type="dxa"/>
            <w:tcBorders>
              <w:top w:val="nil"/>
              <w:left w:val="nil"/>
              <w:bottom w:val="double" w:color="auto" w:sz="6" w:space="0"/>
              <w:right w:val="double" w:color="auto" w:sz="6" w:space="0"/>
            </w:tcBorders>
            <w:shd w:val="clear" w:color="auto" w:fill="auto"/>
            <w:vAlign w:val="center"/>
          </w:tcPr>
          <w:p>
            <w:pPr>
              <w:widowControl/>
              <w:jc w:val="left"/>
              <w:rPr>
                <w:rFonts w:hAnsi="宋体" w:cs="宋体"/>
                <w:kern w:val="0"/>
                <w:sz w:val="21"/>
                <w:szCs w:val="21"/>
              </w:rPr>
            </w:pPr>
            <w:r>
              <w:rPr>
                <w:rFonts w:hint="eastAsia" w:hAnsi="宋体" w:cs="宋体"/>
                <w:kern w:val="0"/>
                <w:sz w:val="21"/>
                <w:szCs w:val="21"/>
              </w:rPr>
              <w:t>过流跳闸告警、速断跳闸告警、接地跳闸告警、失压跳闸告警、变压器超温跳闸告警、变压器高温报警</w:t>
            </w:r>
          </w:p>
        </w:tc>
      </w:tr>
    </w:tbl>
    <w:p>
      <w:pPr>
        <w:pStyle w:val="135"/>
        <w:numPr>
          <w:ilvl w:val="0"/>
          <w:numId w:val="97"/>
        </w:numPr>
        <w:spacing w:before="120"/>
        <w:ind w:firstLine="482"/>
        <w:rPr>
          <w:rFonts w:hAnsi="宋体" w:cs="Arial"/>
          <w:b/>
          <w:bCs/>
        </w:rPr>
      </w:pPr>
      <w:r>
        <w:rPr>
          <w:rFonts w:hint="eastAsia" w:hAnsi="宋体" w:cs="Arial"/>
          <w:b/>
          <w:bCs/>
        </w:rPr>
        <w:t>低压配电设备</w:t>
      </w:r>
    </w:p>
    <w:p>
      <w:pPr>
        <w:pStyle w:val="135"/>
        <w:numPr>
          <w:ilvl w:val="0"/>
          <w:numId w:val="100"/>
        </w:numPr>
        <w:ind w:left="0" w:firstLine="420" w:firstLineChars="175"/>
        <w:rPr>
          <w:rFonts w:hAnsi="宋体" w:cs="Arial"/>
        </w:rPr>
      </w:pPr>
      <w:r>
        <w:rPr>
          <w:rFonts w:hint="eastAsia" w:hAnsi="宋体" w:cs="Arial"/>
        </w:rPr>
        <w:t>低压配电设备应设置运行参数监控和报警系统，监控应包括但不限于《低压配电设备监控表》所列内容。</w:t>
      </w:r>
    </w:p>
    <w:p>
      <w:pPr>
        <w:pStyle w:val="11"/>
        <w:numPr>
          <w:ilvl w:val="8"/>
          <w:numId w:val="72"/>
        </w:numPr>
      </w:pPr>
      <w:bookmarkStart w:id="74" w:name="_Toc165045271"/>
      <w:r>
        <w:rPr>
          <w:rFonts w:hint="eastAsia"/>
        </w:rPr>
        <w:t>低压配电设备监控表</w:t>
      </w:r>
      <w:bookmarkEnd w:id="74"/>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开关状态、电压、电流、频率、功率因数、有功功率、无功功率、电能、电流谐波总畸变率、电涌保护器的保护开关状态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馈线柜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开关状态、电压、电流、功率因数、有功功率、无功功率、电能</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母联柜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电容补偿柜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开关状态、电压、电流、功率因数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谐波治理柜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开关状态、谐波电压、谐波电流</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集中手动维修旁路柜</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开关状态、电压、电流、频率、功率因数</w:t>
            </w:r>
          </w:p>
        </w:tc>
      </w:tr>
    </w:tbl>
    <w:p>
      <w:pPr>
        <w:pStyle w:val="135"/>
        <w:numPr>
          <w:ilvl w:val="0"/>
          <w:numId w:val="100"/>
        </w:numPr>
        <w:ind w:left="0" w:firstLine="420" w:firstLineChars="175"/>
        <w:rPr>
          <w:rFonts w:hAnsi="宋体" w:cs="Arial"/>
        </w:rPr>
      </w:pPr>
      <w:r>
        <w:rPr>
          <w:rFonts w:hint="eastAsia" w:hAnsi="宋体" w:cs="Arial"/>
        </w:rPr>
        <w:t>应对低压配电设备和运行环境进行巡检，每日现场检查次数不应少于2次。日常巡检应包括但不限于《低压配电设备和运行环境巡检表》所列内容。</w:t>
      </w:r>
    </w:p>
    <w:p>
      <w:pPr>
        <w:pStyle w:val="11"/>
        <w:numPr>
          <w:ilvl w:val="8"/>
          <w:numId w:val="72"/>
        </w:numPr>
      </w:pPr>
      <w:bookmarkStart w:id="75" w:name="_Toc165045272"/>
      <w:r>
        <w:rPr>
          <w:rFonts w:hint="eastAsia"/>
        </w:rPr>
        <w:t>低压配电设备和运行环境巡检表</w:t>
      </w:r>
      <w:bookmarkEnd w:id="75"/>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低压配电室环境</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照明、室内温湿度、通风状况、整洁度、孔洞封堵是否完好等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配电柜整体外观检查</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柜体完整性（是否有变形、表面脱漆或腐蚀情况）；回路铭牌、标号及排列与设计相符；指示灯与仪表工作是否正常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配电柜、断路器</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分/合位置与实际运行状况是否相符；保护单元有无报警显示；有无异常声响、振动、过热、放电声；负荷电流是否正常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配电柜附近</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柜体周围有无异常气味</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开关状态及指示检查</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开关状态是否和运行要求相符合：开关分/合状态、指示灯状态；有无过载、短路、接地故障和报警；计量/测量仪表显示是否正常等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母线及电缆发热状况</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用红外测温枪或成像仪检查电缆、母线连接处发热情况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电容补偿柜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自动/手动状态应在正确位置，功率因数补偿结果应大于0.9；电容器投切状态；控制器显示是否正常、有无报警记录；串联电抗器、熔断器温度是否正常（红外成像检查）</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谐波治理柜</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谐波电压、谐波电流是否在正常值范围内</w:t>
            </w:r>
          </w:p>
        </w:tc>
      </w:tr>
    </w:tbl>
    <w:p>
      <w:pPr>
        <w:pStyle w:val="135"/>
        <w:numPr>
          <w:ilvl w:val="0"/>
          <w:numId w:val="100"/>
        </w:numPr>
        <w:ind w:left="0" w:firstLine="420" w:firstLineChars="175"/>
        <w:rPr>
          <w:rFonts w:hAnsi="宋体" w:cs="Arial"/>
        </w:rPr>
      </w:pPr>
      <w:r>
        <w:rPr>
          <w:rFonts w:hint="eastAsia" w:hAnsi="宋体" w:cs="Arial"/>
        </w:rPr>
        <w:t>运行人员发现低压配电设备异常、故障、报警等信号，应按照故障处理或通报流程及时通报、通知相关维护、维修人员，并建立事件单。故障和报警应包括但不限于《低压配电设备故障报警表》所列内容。</w:t>
      </w:r>
    </w:p>
    <w:p>
      <w:pPr>
        <w:pStyle w:val="11"/>
        <w:numPr>
          <w:ilvl w:val="8"/>
          <w:numId w:val="72"/>
        </w:numPr>
      </w:pPr>
      <w:bookmarkStart w:id="76" w:name="_Toc165045273"/>
      <w:r>
        <w:rPr>
          <w:rFonts w:hint="eastAsia"/>
        </w:rPr>
        <w:t>低压配电设备故障报警表</w:t>
      </w:r>
      <w:bookmarkEnd w:id="76"/>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报警内容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短路告警；过载告警；过压、欠压、失压、缺相告警；断路器分断报警、电涌保护器的保护开关分断报警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馈线柜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短路告警；过载告警；断路器分断报警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母联柜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短路告警；断路器分断报警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电容补偿柜</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断路器分断报警</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谐波治理柜</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断路器分断报警</w:t>
            </w:r>
          </w:p>
        </w:tc>
      </w:tr>
    </w:tbl>
    <w:p>
      <w:pPr>
        <w:pStyle w:val="135"/>
        <w:numPr>
          <w:ilvl w:val="0"/>
          <w:numId w:val="97"/>
        </w:numPr>
        <w:spacing w:before="120"/>
        <w:ind w:firstLine="482"/>
        <w:rPr>
          <w:rFonts w:hAnsi="宋体" w:cs="Arial"/>
          <w:b/>
          <w:bCs/>
        </w:rPr>
      </w:pPr>
      <w:r>
        <w:rPr>
          <w:rFonts w:hint="eastAsia" w:hAnsi="宋体" w:cs="Arial"/>
          <w:b/>
          <w:bCs/>
        </w:rPr>
        <w:t>不间断电源UPS</w:t>
      </w:r>
    </w:p>
    <w:p>
      <w:pPr>
        <w:pStyle w:val="135"/>
        <w:numPr>
          <w:ilvl w:val="0"/>
          <w:numId w:val="101"/>
        </w:numPr>
        <w:ind w:left="0" w:firstLine="420" w:firstLineChars="175"/>
        <w:rPr>
          <w:rFonts w:hAnsi="宋体" w:cs="Arial"/>
        </w:rPr>
      </w:pPr>
      <w:r>
        <w:rPr>
          <w:rFonts w:hint="eastAsia" w:hAnsi="宋体" w:cs="Arial"/>
        </w:rPr>
        <w:t>UPS电池室内温度应保持在20~30°C。</w:t>
      </w:r>
    </w:p>
    <w:p>
      <w:pPr>
        <w:pStyle w:val="135"/>
        <w:numPr>
          <w:ilvl w:val="0"/>
          <w:numId w:val="101"/>
        </w:numPr>
        <w:ind w:left="0" w:firstLine="420" w:firstLineChars="175"/>
        <w:rPr>
          <w:rFonts w:hAnsi="宋体" w:cs="Arial"/>
        </w:rPr>
      </w:pPr>
      <w:r>
        <w:rPr>
          <w:rFonts w:hint="eastAsia" w:hAnsi="宋体" w:cs="Arial"/>
        </w:rPr>
        <w:t>宜对UPS电池设置运行参数监控和报警系统，监控应包括但不限于表《电池监控内容》所列内容。</w:t>
      </w:r>
    </w:p>
    <w:p>
      <w:pPr>
        <w:pStyle w:val="11"/>
        <w:numPr>
          <w:ilvl w:val="8"/>
          <w:numId w:val="72"/>
        </w:numPr>
      </w:pPr>
      <w:bookmarkStart w:id="77" w:name="_Toc165045274"/>
      <w:r>
        <w:rPr>
          <w:rFonts w:hint="eastAsia"/>
        </w:rPr>
        <w:t>电池监控表</w:t>
      </w:r>
      <w:bookmarkEnd w:id="77"/>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监控内容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单体电池</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电压、内阻、温度、容量、充放电状态</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电池组</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开关状态、电压、电流、内阻、容量</w:t>
            </w:r>
          </w:p>
        </w:tc>
      </w:tr>
    </w:tbl>
    <w:p>
      <w:pPr>
        <w:pStyle w:val="135"/>
        <w:numPr>
          <w:ilvl w:val="0"/>
          <w:numId w:val="101"/>
        </w:numPr>
        <w:ind w:left="0" w:firstLine="420" w:firstLineChars="175"/>
        <w:rPr>
          <w:rFonts w:hAnsi="宋体" w:cs="Arial"/>
        </w:rPr>
      </w:pPr>
      <w:r>
        <w:rPr>
          <w:rFonts w:hint="eastAsia" w:hAnsi="宋体" w:cs="Arial"/>
        </w:rPr>
        <w:t>应对蓄电池和运行环境进行巡检，每周现场检查次数不应少于1次，巡检应包括但不限于《蓄电池和运行环境巡检表》所列内容。</w:t>
      </w:r>
    </w:p>
    <w:p>
      <w:pPr>
        <w:pStyle w:val="11"/>
        <w:numPr>
          <w:ilvl w:val="8"/>
          <w:numId w:val="72"/>
        </w:numPr>
      </w:pPr>
      <w:bookmarkStart w:id="78" w:name="_Toc165045275"/>
      <w:r>
        <w:rPr>
          <w:rFonts w:hint="eastAsia"/>
        </w:rPr>
        <w:t>蓄电池和运行环境巡检表</w:t>
      </w:r>
      <w:bookmarkEnd w:id="78"/>
    </w:p>
    <w:tbl>
      <w:tblPr>
        <w:tblStyle w:val="75"/>
        <w:tblW w:w="9049" w:type="dxa"/>
        <w:jc w:val="center"/>
        <w:tblLayout w:type="autofit"/>
        <w:tblCellMar>
          <w:top w:w="0" w:type="dxa"/>
          <w:left w:w="108" w:type="dxa"/>
          <w:bottom w:w="0" w:type="dxa"/>
          <w:right w:w="108" w:type="dxa"/>
        </w:tblCellMar>
      </w:tblPr>
      <w:tblGrid>
        <w:gridCol w:w="820"/>
        <w:gridCol w:w="2276"/>
        <w:gridCol w:w="5953"/>
      </w:tblGrid>
      <w:tr>
        <w:tblPrEx>
          <w:tblCellMar>
            <w:top w:w="0" w:type="dxa"/>
            <w:left w:w="108" w:type="dxa"/>
            <w:bottom w:w="0" w:type="dxa"/>
            <w:right w:w="108" w:type="dxa"/>
          </w:tblCellMar>
        </w:tblPrEx>
        <w:trPr>
          <w:tblHeader/>
          <w:jc w:val="cent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2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953"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rPr>
          <w:jc w:val="center"/>
        </w:trP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电池室环境</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照明、室内温度、通风、整洁度、孔洞封堵是否完好、有无异味等</w:t>
            </w:r>
          </w:p>
        </w:tc>
      </w:tr>
      <w:tr>
        <w:tblPrEx>
          <w:tblCellMar>
            <w:top w:w="0" w:type="dxa"/>
            <w:left w:w="108" w:type="dxa"/>
            <w:bottom w:w="0" w:type="dxa"/>
            <w:right w:w="108" w:type="dxa"/>
          </w:tblCellMar>
        </w:tblPrEx>
        <w:trPr>
          <w:jc w:val="center"/>
        </w:trP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电池外观</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检查电池是否漏液、遗酸、鼓包变形，极柱和连接条有无腐蚀情况</w:t>
            </w:r>
          </w:p>
        </w:tc>
      </w:tr>
      <w:tr>
        <w:tblPrEx>
          <w:tblCellMar>
            <w:top w:w="0" w:type="dxa"/>
            <w:left w:w="108" w:type="dxa"/>
            <w:bottom w:w="0" w:type="dxa"/>
            <w:right w:w="108" w:type="dxa"/>
          </w:tblCellMar>
        </w:tblPrEx>
        <w:trPr>
          <w:jc w:val="center"/>
        </w:trP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276"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电池本体</w:t>
            </w:r>
          </w:p>
        </w:tc>
        <w:tc>
          <w:tcPr>
            <w:tcW w:w="5953"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电池端子连接是否可靠、本体温度有无异常</w:t>
            </w:r>
          </w:p>
        </w:tc>
      </w:tr>
      <w:tr>
        <w:tblPrEx>
          <w:tblCellMar>
            <w:top w:w="0" w:type="dxa"/>
            <w:left w:w="108" w:type="dxa"/>
            <w:bottom w:w="0" w:type="dxa"/>
            <w:right w:w="108" w:type="dxa"/>
          </w:tblCellMar>
        </w:tblPrEx>
        <w:trPr>
          <w:jc w:val="center"/>
        </w:trPr>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276"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开关状态及指示检查</w:t>
            </w:r>
          </w:p>
        </w:tc>
        <w:tc>
          <w:tcPr>
            <w:tcW w:w="5953"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电池开关状态、电压指示</w:t>
            </w:r>
          </w:p>
        </w:tc>
      </w:tr>
    </w:tbl>
    <w:p>
      <w:pPr>
        <w:pStyle w:val="135"/>
        <w:numPr>
          <w:ilvl w:val="0"/>
          <w:numId w:val="97"/>
        </w:numPr>
        <w:spacing w:before="120"/>
        <w:ind w:firstLine="482"/>
        <w:rPr>
          <w:rFonts w:hAnsi="宋体" w:cs="Arial"/>
          <w:b/>
          <w:bCs/>
        </w:rPr>
      </w:pPr>
      <w:r>
        <w:rPr>
          <w:rFonts w:hint="eastAsia" w:hAnsi="宋体" w:cs="Arial"/>
          <w:b/>
          <w:bCs/>
        </w:rPr>
        <w:t>防雷接地</w:t>
      </w:r>
    </w:p>
    <w:p>
      <w:pPr>
        <w:pStyle w:val="135"/>
        <w:numPr>
          <w:ilvl w:val="0"/>
          <w:numId w:val="102"/>
        </w:numPr>
        <w:ind w:left="0" w:firstLine="420" w:firstLineChars="175"/>
        <w:rPr>
          <w:rFonts w:hAnsi="宋体" w:cs="Arial"/>
        </w:rPr>
      </w:pPr>
      <w:r>
        <w:rPr>
          <w:rFonts w:hint="eastAsia" w:hAnsi="宋体" w:cs="Arial"/>
        </w:rPr>
        <w:t>防雷接地系统运行对象应包括屋顶接闪器、接地网、接地线、等电位联结、浪涌保护器。</w:t>
      </w:r>
    </w:p>
    <w:p>
      <w:pPr>
        <w:pStyle w:val="135"/>
        <w:numPr>
          <w:ilvl w:val="0"/>
          <w:numId w:val="102"/>
        </w:numPr>
        <w:ind w:left="0" w:firstLine="420" w:firstLineChars="175"/>
        <w:rPr>
          <w:rFonts w:hAnsi="宋体" w:cs="Arial"/>
        </w:rPr>
      </w:pPr>
      <w:r>
        <w:rPr>
          <w:rFonts w:hint="eastAsia" w:hAnsi="宋体" w:cs="Arial"/>
        </w:rPr>
        <w:t>防雷接地系统的维护人员应具有相应的资质。</w:t>
      </w:r>
    </w:p>
    <w:p>
      <w:pPr>
        <w:pStyle w:val="135"/>
        <w:numPr>
          <w:ilvl w:val="0"/>
          <w:numId w:val="102"/>
        </w:numPr>
        <w:ind w:left="0" w:firstLine="420" w:firstLineChars="175"/>
        <w:rPr>
          <w:rFonts w:hAnsi="宋体" w:cs="Arial"/>
        </w:rPr>
      </w:pPr>
      <w:r>
        <w:rPr>
          <w:rFonts w:hint="eastAsia" w:hAnsi="宋体" w:cs="Arial"/>
        </w:rPr>
        <w:t>防雷接地系统投入使用时，应具备下列文件，并应有电子备份档案。</w:t>
      </w:r>
    </w:p>
    <w:p>
      <w:pPr>
        <w:pStyle w:val="135"/>
        <w:numPr>
          <w:ilvl w:val="0"/>
          <w:numId w:val="102"/>
        </w:numPr>
        <w:ind w:left="0" w:firstLine="420" w:firstLineChars="175"/>
        <w:rPr>
          <w:rFonts w:hAnsi="宋体" w:cs="Arial"/>
        </w:rPr>
      </w:pPr>
      <w:r>
        <w:rPr>
          <w:rFonts w:hint="eastAsia" w:hAnsi="宋体" w:cs="Arial"/>
        </w:rPr>
        <w:t>应定期对防雷接地系统进行日常检查和维护，对发现的问题应及时采取处理措施。</w:t>
      </w:r>
    </w:p>
    <w:p>
      <w:pPr>
        <w:pStyle w:val="135"/>
        <w:numPr>
          <w:ilvl w:val="0"/>
          <w:numId w:val="102"/>
        </w:numPr>
        <w:ind w:left="0" w:firstLine="420" w:firstLineChars="175"/>
        <w:rPr>
          <w:rFonts w:hAnsi="宋体" w:cs="Arial"/>
        </w:rPr>
      </w:pPr>
      <w:r>
        <w:rPr>
          <w:rFonts w:hint="eastAsia" w:hAnsi="宋体" w:cs="Arial"/>
        </w:rPr>
        <w:t>运行值班人员应按照巡视计划、周期、路线进行防雷接地系统运行巡视检查，且巡检记录应及时、完整、详实。</w:t>
      </w:r>
    </w:p>
    <w:p>
      <w:pPr>
        <w:pStyle w:val="135"/>
        <w:numPr>
          <w:ilvl w:val="0"/>
          <w:numId w:val="102"/>
        </w:numPr>
        <w:ind w:left="0" w:firstLine="420" w:firstLineChars="175"/>
        <w:rPr>
          <w:rFonts w:hAnsi="宋体" w:cs="Arial"/>
        </w:rPr>
      </w:pPr>
      <w:r>
        <w:rPr>
          <w:rFonts w:hint="eastAsia" w:hAnsi="宋体" w:cs="Arial"/>
        </w:rPr>
        <w:t>根据各类设施的不同检查时效要求，防雷接地运行检查宜分为月检、半年检和年检三类。</w:t>
      </w:r>
    </w:p>
    <w:p>
      <w:pPr>
        <w:pStyle w:val="135"/>
        <w:numPr>
          <w:ilvl w:val="0"/>
          <w:numId w:val="102"/>
        </w:numPr>
        <w:ind w:left="0" w:firstLine="420" w:firstLineChars="175"/>
        <w:rPr>
          <w:rFonts w:hAnsi="宋体" w:cs="Arial"/>
        </w:rPr>
      </w:pPr>
      <w:r>
        <w:rPr>
          <w:rFonts w:hint="eastAsia" w:hAnsi="宋体" w:cs="Arial"/>
        </w:rPr>
        <w:t>每月应对防雷接地所有设施进行巡检，巡检应包括但不限于《防雷接地系统月检表》所列内容。</w:t>
      </w:r>
    </w:p>
    <w:p>
      <w:pPr>
        <w:pStyle w:val="11"/>
        <w:numPr>
          <w:ilvl w:val="8"/>
          <w:numId w:val="72"/>
        </w:numPr>
      </w:pPr>
      <w:bookmarkStart w:id="79" w:name="_Toc165045276"/>
      <w:r>
        <w:rPr>
          <w:rFonts w:hint="eastAsia"/>
        </w:rPr>
        <w:t>防雷接地系统月检表</w:t>
      </w:r>
      <w:bookmarkEnd w:id="79"/>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月检内容</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参考标准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避雷针、避雷网、避雷带外观</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无变形、无断点、无破损</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浪涌抑制器外观</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无变形、无烧毁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浪涌抑制器运行状态</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状态指示灯正常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接地汇流排</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接地线连接牢固、汇流排无变形</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噪音及振动</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无异常噪音及振动情况</w:t>
            </w:r>
          </w:p>
        </w:tc>
      </w:tr>
    </w:tbl>
    <w:p>
      <w:pPr>
        <w:pStyle w:val="135"/>
        <w:numPr>
          <w:ilvl w:val="0"/>
          <w:numId w:val="102"/>
        </w:numPr>
        <w:ind w:left="0" w:firstLine="420" w:firstLineChars="175"/>
        <w:rPr>
          <w:rFonts w:hAnsi="宋体" w:cs="Arial"/>
        </w:rPr>
      </w:pPr>
      <w:r>
        <w:rPr>
          <w:rFonts w:hint="eastAsia" w:hAnsi="宋体" w:cs="Arial"/>
        </w:rPr>
        <w:t>每半年应对接地汇流排（大楼及各楼层）接地电阻、关键设施温度以及接地线电能质量等进行检测。</w:t>
      </w:r>
    </w:p>
    <w:p>
      <w:pPr>
        <w:pStyle w:val="135"/>
        <w:numPr>
          <w:ilvl w:val="0"/>
          <w:numId w:val="102"/>
        </w:numPr>
        <w:ind w:left="0" w:firstLine="420" w:firstLineChars="175"/>
        <w:rPr>
          <w:rFonts w:hAnsi="宋体" w:cs="Arial"/>
        </w:rPr>
      </w:pPr>
      <w:r>
        <w:rPr>
          <w:rFonts w:hint="eastAsia" w:hAnsi="宋体" w:cs="Arial"/>
        </w:rPr>
        <w:t>每年应对防雷接地系统进行全面检查，应委托具有防雷接地检测资质的单位对建筑物防雷装置、浪涌保护器、各级接地电阻值进行专业检查，并出具检测报告。</w:t>
      </w:r>
    </w:p>
    <w:p>
      <w:pPr>
        <w:pStyle w:val="135"/>
        <w:numPr>
          <w:ilvl w:val="0"/>
          <w:numId w:val="97"/>
        </w:numPr>
        <w:spacing w:before="120"/>
        <w:ind w:firstLine="482"/>
        <w:rPr>
          <w:rFonts w:hAnsi="宋体" w:cs="Arial"/>
          <w:b/>
          <w:bCs/>
        </w:rPr>
      </w:pPr>
      <w:r>
        <w:rPr>
          <w:rFonts w:hint="eastAsia" w:hAnsi="宋体" w:cs="Arial"/>
          <w:b/>
          <w:bCs/>
        </w:rPr>
        <w:t>照明</w:t>
      </w:r>
    </w:p>
    <w:p>
      <w:pPr>
        <w:pStyle w:val="135"/>
        <w:numPr>
          <w:ilvl w:val="0"/>
          <w:numId w:val="103"/>
        </w:numPr>
        <w:ind w:left="0" w:firstLine="420" w:firstLineChars="175"/>
        <w:rPr>
          <w:rFonts w:hAnsi="宋体" w:cs="Arial"/>
        </w:rPr>
      </w:pPr>
      <w:r>
        <w:rPr>
          <w:rFonts w:hint="eastAsia" w:hAnsi="宋体" w:cs="Arial"/>
        </w:rPr>
        <w:t>照明运行对象应包括一般照明、备用照明和火灾应急照明。</w:t>
      </w:r>
    </w:p>
    <w:p>
      <w:pPr>
        <w:pStyle w:val="135"/>
        <w:numPr>
          <w:ilvl w:val="0"/>
          <w:numId w:val="103"/>
        </w:numPr>
        <w:ind w:left="0" w:firstLine="420" w:firstLineChars="175"/>
        <w:rPr>
          <w:rFonts w:hAnsi="宋体" w:cs="Arial"/>
        </w:rPr>
      </w:pPr>
      <w:r>
        <w:rPr>
          <w:rFonts w:hint="eastAsia" w:hAnsi="宋体" w:cs="Arial"/>
        </w:rPr>
        <w:t>应对照明设备和运行环境进行巡检，主机房、辅助区、支持区每日检查次数不应少于1次，其它区域每周检查不少于1次。日常巡检应包括但不限于《照明设备日常巡检表》所列内容。</w:t>
      </w:r>
    </w:p>
    <w:p>
      <w:pPr>
        <w:pStyle w:val="11"/>
        <w:numPr>
          <w:ilvl w:val="8"/>
          <w:numId w:val="72"/>
        </w:numPr>
      </w:pPr>
      <w:bookmarkStart w:id="80" w:name="_Toc165045277"/>
      <w:r>
        <w:rPr>
          <w:rFonts w:hint="eastAsia"/>
        </w:rPr>
        <w:t>照明设备日常巡检表</w:t>
      </w:r>
      <w:bookmarkEnd w:id="80"/>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主机房、辅助区、支持区照明环境</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光线充足、满足照明各指标要求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照明柜、照明箱整体外观检查</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柜体完整性（是否有变形、表面脱漆或腐蚀情况）；回路铭牌、标号及排列与设计相符；指示灯与仪表工作是否正常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照明灯具、光源</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灯具及其配件是否齐全、损坏；光源是否有闪烁、发热、不亮现象</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照明控制</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现场开关、智能控制面板是否正常、有效</w:t>
            </w:r>
          </w:p>
        </w:tc>
      </w:tr>
    </w:tbl>
    <w:p>
      <w:pPr>
        <w:pStyle w:val="135"/>
        <w:numPr>
          <w:ilvl w:val="0"/>
          <w:numId w:val="103"/>
        </w:numPr>
        <w:ind w:left="0" w:firstLine="420" w:firstLineChars="175"/>
        <w:rPr>
          <w:rFonts w:hAnsi="宋体" w:cs="Arial"/>
        </w:rPr>
      </w:pPr>
      <w:r>
        <w:rPr>
          <w:rFonts w:hint="eastAsia" w:hAnsi="宋体" w:cs="Arial"/>
        </w:rPr>
        <w:t>应对备用照明、火灾应急照明设备进行标识，标识签应粘贴于设备显著位置。</w:t>
      </w:r>
    </w:p>
    <w:p>
      <w:pPr>
        <w:pStyle w:val="135"/>
        <w:numPr>
          <w:ilvl w:val="0"/>
          <w:numId w:val="97"/>
        </w:numPr>
        <w:spacing w:before="120"/>
        <w:ind w:firstLine="482"/>
        <w:rPr>
          <w:rFonts w:hAnsi="宋体" w:cs="Arial"/>
          <w:b/>
          <w:bCs/>
        </w:rPr>
      </w:pPr>
      <w:r>
        <w:rPr>
          <w:rFonts w:hint="eastAsia" w:hAnsi="宋体" w:cs="Arial"/>
          <w:b/>
          <w:bCs/>
        </w:rPr>
        <w:t>电缆和母线槽</w:t>
      </w:r>
    </w:p>
    <w:p>
      <w:pPr>
        <w:pStyle w:val="135"/>
        <w:numPr>
          <w:ilvl w:val="0"/>
          <w:numId w:val="104"/>
        </w:numPr>
        <w:ind w:left="0" w:firstLine="420" w:firstLineChars="175"/>
        <w:rPr>
          <w:rFonts w:hAnsi="宋体" w:cs="Arial"/>
        </w:rPr>
      </w:pPr>
      <w:r>
        <w:rPr>
          <w:rFonts w:hint="eastAsia" w:hAnsi="宋体" w:cs="Arial"/>
        </w:rPr>
        <w:t>应对电缆和母线槽的线路首端、末端进行标签标识，标签宜挂在电缆头附近位置。标识内容应包括编号、型号规格、用途、引入/引出箱体编号等信息。</w:t>
      </w:r>
    </w:p>
    <w:p>
      <w:pPr>
        <w:pStyle w:val="135"/>
        <w:numPr>
          <w:ilvl w:val="0"/>
          <w:numId w:val="104"/>
        </w:numPr>
        <w:ind w:left="0" w:firstLine="420" w:firstLineChars="175"/>
        <w:rPr>
          <w:rFonts w:hAnsi="宋体" w:cs="Arial"/>
        </w:rPr>
      </w:pPr>
      <w:r>
        <w:rPr>
          <w:rFonts w:hint="eastAsia" w:hAnsi="宋体" w:cs="Arial"/>
        </w:rPr>
        <w:t>应对电缆、母线槽运行环境进行巡检，对于增容的电缆和母线槽应加强巡检频次，每年现场检查应不少于1次。日常巡检应包括但不限于《电缆、母线槽及运行环境巡检表》所列内容。</w:t>
      </w:r>
    </w:p>
    <w:p>
      <w:pPr>
        <w:pStyle w:val="11"/>
        <w:numPr>
          <w:ilvl w:val="8"/>
          <w:numId w:val="72"/>
        </w:numPr>
      </w:pPr>
      <w:bookmarkStart w:id="81" w:name="_Toc165045278"/>
      <w:r>
        <w:rPr>
          <w:rFonts w:hint="eastAsia"/>
        </w:rPr>
        <w:t>电缆、母线槽及运行环境巡检表</w:t>
      </w:r>
      <w:bookmarkEnd w:id="81"/>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电缆头</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检查电缆头是否清洁、发热、放电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电缆本体</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检查电缆外皮温度，判断是否过负荷</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电缆支架</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支架固定是否紧固、有无锈蚀</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电缆构筑物</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检查构筑物内电缆位置是否正常、温度是否异常、构件是否脱落、通风、排水、照明等设施是否完整、有无火灾隐患</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母线槽外观、环境</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检查母线四周是否存在渗漏、喷水、潜在的潮气；母线外观有无损伤、变形</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母线槽本体</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检查每节母线的温度是否有温差、检查是否有异物进入母线内部、检查母线零部件有无缺损、锈蚀现象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始端箱、插接箱</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检查箱子与母线的接头是否紧密、有无发热现象；开关状态</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母线槽支架</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检查支架固定是否紧固、有无锈蚀；检查支架弹簧是否有合适的弹力</w:t>
            </w:r>
          </w:p>
        </w:tc>
      </w:tr>
    </w:tbl>
    <w:p>
      <w:pPr>
        <w:pStyle w:val="7"/>
        <w:numPr>
          <w:ilvl w:val="4"/>
          <w:numId w:val="72"/>
        </w:numPr>
      </w:pPr>
      <w:r>
        <w:rPr>
          <w:rFonts w:hint="eastAsia"/>
        </w:rPr>
        <w:t>通风空调系统日常巡检</w:t>
      </w:r>
    </w:p>
    <w:p>
      <w:pPr>
        <w:pStyle w:val="8"/>
        <w:numPr>
          <w:ilvl w:val="5"/>
          <w:numId w:val="72"/>
        </w:numPr>
      </w:pPr>
      <w:r>
        <w:rPr>
          <w:rFonts w:hint="eastAsia"/>
        </w:rPr>
        <w:t>工作要求及目标</w:t>
      </w:r>
    </w:p>
    <w:p>
      <w:pPr>
        <w:pStyle w:val="135"/>
        <w:numPr>
          <w:ilvl w:val="0"/>
          <w:numId w:val="105"/>
        </w:numPr>
        <w:ind w:left="0" w:firstLine="420" w:firstLineChars="175"/>
        <w:rPr>
          <w:rFonts w:hAnsi="宋体" w:cs="Arial"/>
        </w:rPr>
      </w:pPr>
      <w:r>
        <w:rPr>
          <w:rFonts w:hint="eastAsia" w:hAnsi="宋体" w:cs="Arial"/>
        </w:rPr>
        <w:t>空调通风系统应根据动态冷（热）负荷及能源供应等条件，经技术经济比较，按安全可靠、节能环保的原则，制订合理的全年运行方案。</w:t>
      </w:r>
    </w:p>
    <w:p>
      <w:pPr>
        <w:pStyle w:val="135"/>
        <w:numPr>
          <w:ilvl w:val="0"/>
          <w:numId w:val="105"/>
        </w:numPr>
        <w:ind w:left="0" w:firstLine="420" w:firstLineChars="175"/>
        <w:rPr>
          <w:rFonts w:hAnsi="宋体" w:cs="Arial"/>
        </w:rPr>
      </w:pPr>
      <w:r>
        <w:rPr>
          <w:rFonts w:hint="eastAsia" w:hAnsi="宋体" w:cs="Arial"/>
        </w:rPr>
        <w:t>冷源、输送和末端设备有备用或冗余的，宜轮换使用，提高设备的使用效率及寿命。</w:t>
      </w:r>
    </w:p>
    <w:p>
      <w:pPr>
        <w:pStyle w:val="135"/>
        <w:numPr>
          <w:ilvl w:val="0"/>
          <w:numId w:val="105"/>
        </w:numPr>
        <w:ind w:left="0" w:firstLine="420" w:firstLineChars="175"/>
        <w:rPr>
          <w:rFonts w:hAnsi="宋体" w:cs="Arial"/>
        </w:rPr>
      </w:pPr>
      <w:r>
        <w:rPr>
          <w:rFonts w:hint="eastAsia" w:hAnsi="宋体" w:cs="Arial"/>
        </w:rPr>
        <w:t>运行值班人员应做好值班日志，记录空调设备日常运行情况，记录应详实完整。</w:t>
      </w:r>
    </w:p>
    <w:p>
      <w:pPr>
        <w:pStyle w:val="135"/>
        <w:numPr>
          <w:ilvl w:val="0"/>
          <w:numId w:val="105"/>
        </w:numPr>
        <w:ind w:left="0" w:firstLine="420" w:firstLineChars="175"/>
        <w:rPr>
          <w:rFonts w:hAnsi="宋体" w:cs="Arial"/>
        </w:rPr>
      </w:pPr>
      <w:r>
        <w:rPr>
          <w:rFonts w:hint="eastAsia" w:hAnsi="宋体" w:cs="Arial"/>
        </w:rPr>
        <w:t>机房运行应始终维持正压。主机房与其它房间、走廊间的压差不宜小于5Pa，与室外静压差不宜小于10Pa。</w:t>
      </w:r>
    </w:p>
    <w:p>
      <w:pPr>
        <w:pStyle w:val="135"/>
        <w:numPr>
          <w:ilvl w:val="0"/>
          <w:numId w:val="105"/>
        </w:numPr>
        <w:ind w:left="0" w:firstLine="420" w:firstLineChars="175"/>
        <w:rPr>
          <w:rFonts w:hAnsi="宋体" w:cs="Arial"/>
        </w:rPr>
      </w:pPr>
      <w:r>
        <w:rPr>
          <w:rFonts w:hint="eastAsia" w:hAnsi="宋体" w:cs="Arial"/>
        </w:rPr>
        <w:t>合理使用能耗计量装置，对冷热源、输配系统和末端装置的能耗实现独立分项计量。</w:t>
      </w:r>
    </w:p>
    <w:p>
      <w:pPr>
        <w:pStyle w:val="135"/>
        <w:numPr>
          <w:ilvl w:val="0"/>
          <w:numId w:val="105"/>
        </w:numPr>
        <w:ind w:left="0" w:firstLine="420" w:firstLineChars="175"/>
        <w:rPr>
          <w:rFonts w:hAnsi="宋体" w:cs="Arial"/>
        </w:rPr>
      </w:pPr>
      <w:r>
        <w:rPr>
          <w:rFonts w:hint="eastAsia" w:hAnsi="宋体" w:cs="Arial"/>
        </w:rPr>
        <w:t>运行过程中应采取措施防止出现局部结露或冷凝现象。</w:t>
      </w:r>
    </w:p>
    <w:p>
      <w:pPr>
        <w:pStyle w:val="135"/>
        <w:numPr>
          <w:ilvl w:val="0"/>
          <w:numId w:val="105"/>
        </w:numPr>
        <w:ind w:left="0" w:firstLine="420" w:firstLineChars="175"/>
        <w:rPr>
          <w:rFonts w:hAnsi="宋体" w:cs="Arial"/>
        </w:rPr>
      </w:pPr>
      <w:r>
        <w:rPr>
          <w:rFonts w:hint="eastAsia" w:hAnsi="宋体" w:cs="Arial"/>
        </w:rPr>
        <w:t>系统运行应使数据中心节能指标达到设计要求。</w:t>
      </w:r>
    </w:p>
    <w:p>
      <w:pPr>
        <w:pStyle w:val="135"/>
        <w:numPr>
          <w:ilvl w:val="0"/>
          <w:numId w:val="105"/>
        </w:numPr>
        <w:ind w:left="0" w:firstLine="420" w:firstLineChars="175"/>
        <w:rPr>
          <w:rFonts w:hAnsi="宋体" w:cs="Arial"/>
        </w:rPr>
      </w:pPr>
      <w:r>
        <w:rPr>
          <w:rFonts w:hint="eastAsia" w:hAnsi="宋体" w:cs="Arial"/>
        </w:rPr>
        <w:t>空调运行管理包括值班、监控、巡检和报警事件处理等内容，对于重要性高的机房应配置运行值班人员，确保及时响应空调故障报警，配置24小时值班人员。</w:t>
      </w:r>
    </w:p>
    <w:p>
      <w:pPr>
        <w:pStyle w:val="135"/>
        <w:numPr>
          <w:ilvl w:val="0"/>
          <w:numId w:val="105"/>
        </w:numPr>
        <w:ind w:left="0" w:firstLine="420" w:firstLineChars="175"/>
        <w:rPr>
          <w:rFonts w:hAnsi="宋体" w:cs="Arial"/>
        </w:rPr>
      </w:pPr>
      <w:r>
        <w:rPr>
          <w:rFonts w:hint="eastAsia" w:hAnsi="宋体" w:cs="Arial"/>
        </w:rPr>
        <w:t>运行值班人员应按巡视周期、路线进行设备运行监控和巡视检查，发现的故障、报警等问题应按照故障处理及通报流程及时通报、处理，并做好记录，巡检记录应及时、完整、详实。</w:t>
      </w:r>
    </w:p>
    <w:p>
      <w:pPr>
        <w:pStyle w:val="8"/>
        <w:numPr>
          <w:ilvl w:val="5"/>
          <w:numId w:val="72"/>
        </w:numPr>
      </w:pPr>
      <w:r>
        <w:rPr>
          <w:rFonts w:hint="eastAsia"/>
        </w:rPr>
        <w:t>详细内容及要求</w:t>
      </w:r>
    </w:p>
    <w:p>
      <w:pPr>
        <w:pStyle w:val="135"/>
        <w:numPr>
          <w:ilvl w:val="0"/>
          <w:numId w:val="106"/>
        </w:numPr>
        <w:spacing w:before="120"/>
        <w:ind w:firstLine="482"/>
        <w:rPr>
          <w:rFonts w:hAnsi="宋体" w:cs="Arial"/>
          <w:b/>
          <w:bCs/>
        </w:rPr>
      </w:pPr>
      <w:r>
        <w:rPr>
          <w:rFonts w:hint="eastAsia" w:hAnsi="宋体" w:cs="Arial"/>
          <w:b/>
          <w:bCs/>
        </w:rPr>
        <w:t>冷源</w:t>
      </w:r>
    </w:p>
    <w:p>
      <w:pPr>
        <w:pStyle w:val="135"/>
        <w:numPr>
          <w:ilvl w:val="0"/>
          <w:numId w:val="107"/>
        </w:numPr>
        <w:ind w:left="0" w:firstLine="420" w:firstLineChars="175"/>
        <w:rPr>
          <w:rFonts w:hAnsi="宋体" w:cs="Arial"/>
        </w:rPr>
      </w:pPr>
      <w:r>
        <w:rPr>
          <w:rFonts w:hint="eastAsia" w:hAnsi="宋体" w:cs="Arial"/>
        </w:rPr>
        <w:t>制冷机房运行应采取群控方式，根据系统负荷的变化合理调配机组运行台数。通过群控软件，根据每列机架的实时散热量，动态调节空调的制冷量，实现对空调系统的节能控制。</w:t>
      </w:r>
    </w:p>
    <w:p>
      <w:pPr>
        <w:pStyle w:val="135"/>
        <w:numPr>
          <w:ilvl w:val="0"/>
          <w:numId w:val="107"/>
        </w:numPr>
        <w:ind w:left="0" w:firstLine="420" w:firstLineChars="175"/>
        <w:rPr>
          <w:rFonts w:hAnsi="宋体" w:cs="Arial"/>
        </w:rPr>
      </w:pPr>
      <w:r>
        <w:rPr>
          <w:rFonts w:hint="eastAsia" w:hAnsi="宋体" w:cs="Arial"/>
        </w:rPr>
        <w:t>制冷设备在满足除湿和供冷需求的条件下宜适当提高供水温度，加大供回水温差。</w:t>
      </w:r>
    </w:p>
    <w:p>
      <w:pPr>
        <w:pStyle w:val="135"/>
        <w:numPr>
          <w:ilvl w:val="0"/>
          <w:numId w:val="107"/>
        </w:numPr>
        <w:ind w:left="0" w:firstLine="420" w:firstLineChars="175"/>
        <w:rPr>
          <w:rFonts w:hAnsi="宋体" w:cs="Arial"/>
        </w:rPr>
      </w:pPr>
      <w:r>
        <w:rPr>
          <w:rFonts w:hint="eastAsia" w:hAnsi="宋体" w:cs="Arial"/>
        </w:rPr>
        <w:t>应对制冷设备进行日常巡检，巡检应包括但不限于《制冷设备日常巡检表》所列内容。</w:t>
      </w:r>
    </w:p>
    <w:p>
      <w:pPr>
        <w:pStyle w:val="11"/>
        <w:numPr>
          <w:ilvl w:val="8"/>
          <w:numId w:val="72"/>
        </w:numPr>
      </w:pPr>
      <w:bookmarkStart w:id="82" w:name="_Toc165045279"/>
      <w:r>
        <w:rPr>
          <w:rFonts w:hint="eastAsia"/>
        </w:rPr>
        <w:t>制冷设备日常巡检表</w:t>
      </w:r>
      <w:bookmarkEnd w:id="82"/>
    </w:p>
    <w:tbl>
      <w:tblPr>
        <w:tblStyle w:val="75"/>
        <w:tblW w:w="9049" w:type="dxa"/>
        <w:tblInd w:w="0" w:type="dxa"/>
        <w:tblLayout w:type="autofit"/>
        <w:tblCellMar>
          <w:top w:w="0" w:type="dxa"/>
          <w:left w:w="108" w:type="dxa"/>
          <w:bottom w:w="0" w:type="dxa"/>
          <w:right w:w="108" w:type="dxa"/>
        </w:tblCellMar>
      </w:tblPr>
      <w:tblGrid>
        <w:gridCol w:w="820"/>
        <w:gridCol w:w="2701"/>
        <w:gridCol w:w="552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70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52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运行状态</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故障/正常；运行/停止；手动/自动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自控系统状态</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故障/正常；运行/停止；手动/自动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温度、湿度、压力、压差</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控制点的设定值和显示值是否正常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冷冻水、冷却水、冷媒介质</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温度、压力是否正常</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701"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冷冻水机组或直膨式机组</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压缩机运行声音是否平稳</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风机、风扇、压缩机等有无异常声响、气味、振动</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风冷机冷凝器翅片是否洁净</w:t>
            </w:r>
          </w:p>
        </w:tc>
      </w:tr>
    </w:tbl>
    <w:p>
      <w:pPr>
        <w:pStyle w:val="135"/>
        <w:numPr>
          <w:ilvl w:val="0"/>
          <w:numId w:val="107"/>
        </w:numPr>
        <w:ind w:left="0" w:firstLine="420" w:firstLineChars="175"/>
        <w:rPr>
          <w:rFonts w:hAnsi="宋体" w:cs="Arial"/>
        </w:rPr>
      </w:pPr>
      <w:r>
        <w:rPr>
          <w:rFonts w:hint="eastAsia" w:hAnsi="宋体" w:cs="Arial"/>
        </w:rPr>
        <w:t>设置冰/水蓄冷系统的工程，在保证系统安全运行的前提下，宜制定合理的蓄冷/释冷方案。</w:t>
      </w:r>
    </w:p>
    <w:p>
      <w:pPr>
        <w:pStyle w:val="135"/>
        <w:numPr>
          <w:ilvl w:val="0"/>
          <w:numId w:val="106"/>
        </w:numPr>
        <w:spacing w:before="120"/>
        <w:ind w:firstLine="482"/>
        <w:rPr>
          <w:rFonts w:hAnsi="宋体" w:cs="Arial"/>
          <w:b/>
          <w:bCs/>
        </w:rPr>
      </w:pPr>
      <w:r>
        <w:rPr>
          <w:rFonts w:hint="eastAsia" w:hAnsi="宋体" w:cs="Arial"/>
          <w:b/>
          <w:bCs/>
        </w:rPr>
        <w:t>机房空调</w:t>
      </w:r>
    </w:p>
    <w:p>
      <w:pPr>
        <w:pStyle w:val="135"/>
        <w:numPr>
          <w:ilvl w:val="0"/>
          <w:numId w:val="108"/>
        </w:numPr>
        <w:ind w:left="0" w:firstLine="420" w:firstLineChars="175"/>
        <w:rPr>
          <w:rFonts w:hAnsi="宋体" w:cs="Arial"/>
        </w:rPr>
      </w:pPr>
      <w:r>
        <w:rPr>
          <w:rFonts w:hint="eastAsia" w:hAnsi="宋体" w:cs="Arial"/>
        </w:rPr>
        <w:t>机房空调应设置实时监控和报警系统，确保运行安全。空调系统运行监控对象主要包括：对于传统精密空调：送风温度/湿度，回风温度/湿度，压缩机、加湿器、风机、空调开/关机状态等；对于水冷空调：冷冻水系统进出水温度、压力；冷却水系统进出水温度、压力；室内外干湿球温度；冷却、冷冻水泵进出口压力、水泵转速；冷却塔风机、重要开关、阀门运行情况。</w:t>
      </w:r>
    </w:p>
    <w:p>
      <w:pPr>
        <w:pStyle w:val="135"/>
        <w:numPr>
          <w:ilvl w:val="0"/>
          <w:numId w:val="108"/>
        </w:numPr>
        <w:ind w:left="0" w:firstLine="420" w:firstLineChars="175"/>
        <w:rPr>
          <w:rFonts w:hAnsi="宋体" w:cs="Arial"/>
        </w:rPr>
      </w:pPr>
      <w:r>
        <w:rPr>
          <w:rFonts w:hint="eastAsia" w:hAnsi="宋体" w:cs="Arial"/>
        </w:rPr>
        <w:t>应对机房空调进行日常巡检，巡检应包括但不限于《机房空调日常巡检表》所列内容。</w:t>
      </w:r>
    </w:p>
    <w:p>
      <w:pPr>
        <w:pStyle w:val="11"/>
        <w:numPr>
          <w:ilvl w:val="8"/>
          <w:numId w:val="72"/>
        </w:numPr>
      </w:pPr>
      <w:bookmarkStart w:id="83" w:name="_Toc165045280"/>
      <w:r>
        <w:rPr>
          <w:rFonts w:hint="eastAsia"/>
        </w:rPr>
        <w:t>机房空调日常巡检表</w:t>
      </w:r>
      <w:bookmarkEnd w:id="83"/>
    </w:p>
    <w:tbl>
      <w:tblPr>
        <w:tblStyle w:val="75"/>
        <w:tblW w:w="9049" w:type="dxa"/>
        <w:tblInd w:w="0" w:type="dxa"/>
        <w:tblLayout w:type="autofit"/>
        <w:tblCellMar>
          <w:top w:w="0" w:type="dxa"/>
          <w:left w:w="108" w:type="dxa"/>
          <w:bottom w:w="0" w:type="dxa"/>
          <w:right w:w="108" w:type="dxa"/>
        </w:tblCellMar>
      </w:tblPr>
      <w:tblGrid>
        <w:gridCol w:w="820"/>
        <w:gridCol w:w="2701"/>
        <w:gridCol w:w="552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70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52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温度、湿度、压力、压差</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设定值和显示值是否正常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冷冻水、冷却水、冷媒介质</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温度、压力是否正常</w:t>
            </w:r>
          </w:p>
        </w:tc>
      </w:tr>
      <w:tr>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70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精密空调室内机侧板</w:t>
            </w:r>
          </w:p>
        </w:tc>
        <w:tc>
          <w:tcPr>
            <w:tcW w:w="552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表面是否有结霜或结露现象</w:t>
            </w:r>
          </w:p>
        </w:tc>
      </w:tr>
    </w:tbl>
    <w:p>
      <w:pPr>
        <w:pStyle w:val="135"/>
        <w:numPr>
          <w:ilvl w:val="0"/>
          <w:numId w:val="106"/>
        </w:numPr>
        <w:spacing w:before="120"/>
        <w:ind w:firstLine="482"/>
        <w:rPr>
          <w:rFonts w:hAnsi="宋体" w:cs="Arial"/>
          <w:b/>
          <w:bCs/>
        </w:rPr>
      </w:pPr>
      <w:r>
        <w:rPr>
          <w:rFonts w:hint="eastAsia" w:hAnsi="宋体" w:cs="Arial"/>
          <w:b/>
          <w:bCs/>
        </w:rPr>
        <w:t>空调水系统</w:t>
      </w:r>
    </w:p>
    <w:p>
      <w:pPr>
        <w:pStyle w:val="135"/>
        <w:numPr>
          <w:ilvl w:val="0"/>
          <w:numId w:val="109"/>
        </w:numPr>
        <w:ind w:left="0" w:firstLine="420" w:firstLineChars="175"/>
        <w:rPr>
          <w:rFonts w:hAnsi="宋体" w:cs="Arial"/>
        </w:rPr>
      </w:pPr>
      <w:r>
        <w:rPr>
          <w:rFonts w:hint="eastAsia" w:hAnsi="宋体" w:cs="Arial"/>
        </w:rPr>
        <w:t>设有冷却塔供冷措施的冷冻水系统，应根据室外气象条件适时进行冷却塔供冷与冷机供冷模式的切换。</w:t>
      </w:r>
    </w:p>
    <w:p>
      <w:pPr>
        <w:pStyle w:val="135"/>
        <w:numPr>
          <w:ilvl w:val="0"/>
          <w:numId w:val="109"/>
        </w:numPr>
        <w:ind w:left="0" w:firstLine="420" w:firstLineChars="175"/>
        <w:rPr>
          <w:rFonts w:hAnsi="宋体" w:cs="Arial"/>
        </w:rPr>
      </w:pPr>
      <w:r>
        <w:rPr>
          <w:rFonts w:hint="eastAsia" w:hAnsi="宋体" w:cs="Arial"/>
        </w:rPr>
        <w:t>应对冷却塔进行日常巡检，巡检应包括但不限于《冷却塔日常巡检表》所列内容。</w:t>
      </w:r>
    </w:p>
    <w:p>
      <w:pPr>
        <w:pStyle w:val="11"/>
        <w:numPr>
          <w:ilvl w:val="8"/>
          <w:numId w:val="72"/>
        </w:numPr>
      </w:pPr>
      <w:bookmarkStart w:id="84" w:name="_Toc165045281"/>
      <w:r>
        <w:rPr>
          <w:rFonts w:hint="eastAsia"/>
        </w:rPr>
        <w:t>冷却塔日常巡检表</w:t>
      </w:r>
      <w:bookmarkEnd w:id="84"/>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集水盘</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水位是否适中，有无缺水或溢水、漂水现象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补水浮球阀</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开关是否灵敏</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配水槽</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槽内是否有杂物堵塞散水孔</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填料</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散水是否均匀</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加热器</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冬季检查塔内结冰情况，并检查加热器工作是否正常</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进风格栅</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有无杂物堵塞</w:t>
            </w:r>
          </w:p>
        </w:tc>
      </w:tr>
    </w:tbl>
    <w:p>
      <w:pPr>
        <w:pStyle w:val="135"/>
        <w:numPr>
          <w:ilvl w:val="0"/>
          <w:numId w:val="109"/>
        </w:numPr>
        <w:ind w:left="0" w:firstLine="420" w:firstLineChars="175"/>
        <w:rPr>
          <w:rFonts w:hAnsi="宋体" w:cs="Arial"/>
        </w:rPr>
      </w:pPr>
      <w:r>
        <w:rPr>
          <w:rFonts w:hint="eastAsia" w:hAnsi="宋体" w:cs="Arial"/>
        </w:rPr>
        <w:t>当室外温度低于冰点时，冷却水系统应采取防冻措施。</w:t>
      </w:r>
    </w:p>
    <w:p>
      <w:pPr>
        <w:pStyle w:val="135"/>
        <w:numPr>
          <w:ilvl w:val="0"/>
          <w:numId w:val="109"/>
        </w:numPr>
        <w:ind w:left="0" w:firstLine="420" w:firstLineChars="175"/>
        <w:rPr>
          <w:rFonts w:hAnsi="宋体" w:cs="Arial"/>
        </w:rPr>
      </w:pPr>
      <w:r>
        <w:rPr>
          <w:rFonts w:hint="eastAsia" w:hAnsi="宋体" w:cs="Arial"/>
        </w:rPr>
        <w:t>水系统运行应减少并联环路之间的压力损失相对差额，保证各环路的水力平衡。</w:t>
      </w:r>
    </w:p>
    <w:p>
      <w:pPr>
        <w:pStyle w:val="135"/>
        <w:numPr>
          <w:ilvl w:val="0"/>
          <w:numId w:val="109"/>
        </w:numPr>
        <w:ind w:left="0" w:firstLine="420" w:firstLineChars="175"/>
        <w:rPr>
          <w:rFonts w:hAnsi="宋体" w:cs="Arial"/>
        </w:rPr>
      </w:pPr>
      <w:r>
        <w:rPr>
          <w:rFonts w:hint="eastAsia" w:hAnsi="宋体" w:cs="Arial"/>
        </w:rPr>
        <w:t>采用变频运行的水系统，变频设备的频率不宜低于额定值的60%。</w:t>
      </w:r>
    </w:p>
    <w:p>
      <w:pPr>
        <w:pStyle w:val="135"/>
        <w:numPr>
          <w:ilvl w:val="0"/>
          <w:numId w:val="109"/>
        </w:numPr>
        <w:ind w:left="0" w:firstLine="420" w:firstLineChars="175"/>
        <w:rPr>
          <w:rFonts w:hAnsi="宋体" w:cs="Arial"/>
        </w:rPr>
      </w:pPr>
      <w:r>
        <w:rPr>
          <w:rFonts w:hint="eastAsia" w:hAnsi="宋体" w:cs="Arial"/>
        </w:rPr>
        <w:t>应对水泵进行日常巡检，巡检应包括但不限于《水泵日常巡检表》所列内容。</w:t>
      </w:r>
    </w:p>
    <w:p>
      <w:pPr>
        <w:pStyle w:val="11"/>
        <w:numPr>
          <w:ilvl w:val="8"/>
          <w:numId w:val="72"/>
        </w:numPr>
      </w:pPr>
      <w:bookmarkStart w:id="85" w:name="_Toc165045282"/>
      <w:r>
        <w:rPr>
          <w:rFonts w:hint="eastAsia"/>
        </w:rPr>
        <w:t>水泵日常巡检表</w:t>
      </w:r>
      <w:bookmarkEnd w:id="85"/>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周围环境</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有无异味</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轴承</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运转声音和振动是否正常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轴封、管接头</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有无漏水现象</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转速</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是否在规定或调控范围内</w:t>
            </w:r>
          </w:p>
        </w:tc>
      </w:tr>
    </w:tbl>
    <w:p>
      <w:pPr>
        <w:pStyle w:val="135"/>
        <w:numPr>
          <w:ilvl w:val="0"/>
          <w:numId w:val="109"/>
        </w:numPr>
        <w:ind w:left="0" w:firstLine="420" w:firstLineChars="175"/>
        <w:rPr>
          <w:rFonts w:hAnsi="宋体" w:cs="Arial"/>
        </w:rPr>
      </w:pPr>
      <w:r>
        <w:rPr>
          <w:rFonts w:hint="eastAsia" w:hAnsi="宋体" w:cs="Arial"/>
        </w:rPr>
        <w:t>应对空调水系统的膨胀水箱、补水箱、软化水箱、管道、阀门附件进行日常巡检的对象，巡检应包括但不限于《水箱/阀门附件/管道巡检表》所列内容。</w:t>
      </w:r>
    </w:p>
    <w:p>
      <w:pPr>
        <w:pStyle w:val="11"/>
        <w:numPr>
          <w:ilvl w:val="8"/>
          <w:numId w:val="72"/>
        </w:numPr>
      </w:pPr>
      <w:bookmarkStart w:id="86" w:name="_Toc165045283"/>
      <w:r>
        <w:rPr>
          <w:rFonts w:hint="eastAsia"/>
        </w:rPr>
        <w:t>水箱/阀门附件/管道巡检表</w:t>
      </w:r>
      <w:bookmarkEnd w:id="86"/>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水箱水位</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是否适中，有无缺水或溢水现象</w:t>
            </w:r>
          </w:p>
        </w:tc>
      </w:tr>
      <w:t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水箱补水浮球阀</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开关是否灵敏</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阀门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接头是否漏水；重要阀门的开关状态及阀位是否正常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自动排气阀</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是否动作正常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电动或气动调节阀</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调节范围和指示角度是否与阀门开启角度一致</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管道（冷媒、冷却水、冷冻水）</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有无外皮破损、脱落、胀裂、开胶、结露和渗漏；</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各种管道保温是否完整</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地漏</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能否正常排水</w:t>
            </w:r>
          </w:p>
        </w:tc>
      </w:tr>
    </w:tbl>
    <w:p>
      <w:pPr>
        <w:pStyle w:val="135"/>
        <w:numPr>
          <w:ilvl w:val="0"/>
          <w:numId w:val="106"/>
        </w:numPr>
        <w:spacing w:before="120"/>
        <w:ind w:firstLine="482"/>
        <w:rPr>
          <w:rFonts w:hAnsi="宋体" w:cs="Arial"/>
          <w:b/>
          <w:bCs/>
        </w:rPr>
      </w:pPr>
      <w:r>
        <w:rPr>
          <w:rFonts w:hint="eastAsia" w:hAnsi="宋体" w:cs="Arial"/>
          <w:b/>
          <w:bCs/>
        </w:rPr>
        <w:t>空调系统风风机</w:t>
      </w:r>
    </w:p>
    <w:p>
      <w:pPr>
        <w:pStyle w:val="135"/>
        <w:numPr>
          <w:ilvl w:val="0"/>
          <w:numId w:val="110"/>
        </w:numPr>
        <w:ind w:left="0" w:firstLine="420" w:firstLineChars="175"/>
        <w:rPr>
          <w:rFonts w:hAnsi="宋体" w:cs="Arial"/>
        </w:rPr>
      </w:pPr>
      <w:r>
        <w:rPr>
          <w:rFonts w:hint="eastAsia" w:hAnsi="宋体" w:cs="Arial"/>
        </w:rPr>
        <w:t>采用变频运行的风机系统，变频设备的频率不宜低于额定值的60%。</w:t>
      </w:r>
    </w:p>
    <w:p>
      <w:pPr>
        <w:pStyle w:val="135"/>
        <w:numPr>
          <w:ilvl w:val="0"/>
          <w:numId w:val="110"/>
        </w:numPr>
        <w:ind w:left="0" w:firstLine="420" w:firstLineChars="175"/>
        <w:rPr>
          <w:rFonts w:hAnsi="宋体" w:cs="Arial"/>
        </w:rPr>
      </w:pPr>
      <w:r>
        <w:rPr>
          <w:rFonts w:hint="eastAsia" w:hAnsi="宋体" w:cs="Arial"/>
        </w:rPr>
        <w:t>对于设置了自然冷却措施的空调系统，过渡季或冬季运行时，应适时开启自然冷却模式运行。</w:t>
      </w:r>
    </w:p>
    <w:p>
      <w:pPr>
        <w:pStyle w:val="135"/>
        <w:numPr>
          <w:ilvl w:val="0"/>
          <w:numId w:val="110"/>
        </w:numPr>
        <w:ind w:left="0" w:firstLine="420" w:firstLineChars="175"/>
        <w:rPr>
          <w:rFonts w:hAnsi="宋体" w:cs="Arial"/>
        </w:rPr>
      </w:pPr>
      <w:r>
        <w:rPr>
          <w:rFonts w:hint="eastAsia" w:hAnsi="宋体" w:cs="Arial"/>
        </w:rPr>
        <w:t>应对空调系统风机进行日常巡检，巡检应包括但不限于《空调系统风机日常巡检表》所列内容。</w:t>
      </w:r>
    </w:p>
    <w:p>
      <w:pPr>
        <w:pStyle w:val="11"/>
        <w:numPr>
          <w:ilvl w:val="8"/>
          <w:numId w:val="72"/>
        </w:numPr>
      </w:pPr>
      <w:bookmarkStart w:id="87" w:name="_Toc165045284"/>
      <w:r>
        <w:rPr>
          <w:rFonts w:hint="eastAsia"/>
        </w:rPr>
        <w:t>空调系统风机日常巡检表</w:t>
      </w:r>
      <w:bookmarkEnd w:id="87"/>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巡检内容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周围环境</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有无异味（指由风机不正常运行造成的）</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轴承</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运转声音和振动是否正常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皮带</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传动是否可靠，是否打滑</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转速</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是否在规定或调控范围内</w:t>
            </w:r>
          </w:p>
        </w:tc>
      </w:tr>
    </w:tbl>
    <w:p>
      <w:pPr>
        <w:pStyle w:val="135"/>
        <w:numPr>
          <w:ilvl w:val="0"/>
          <w:numId w:val="110"/>
        </w:numPr>
        <w:ind w:left="0" w:firstLine="420" w:firstLineChars="175"/>
        <w:rPr>
          <w:rFonts w:hAnsi="宋体" w:cs="Arial"/>
        </w:rPr>
      </w:pPr>
      <w:r>
        <w:rPr>
          <w:rFonts w:hint="eastAsia" w:hAnsi="宋体" w:cs="Arial"/>
        </w:rPr>
        <w:t>通风空调系统运行中应保证合理的气流组织，防止局部过热，确保气流均匀性，进风侧的温度应达到一致。</w:t>
      </w:r>
    </w:p>
    <w:p>
      <w:pPr>
        <w:pStyle w:val="7"/>
        <w:numPr>
          <w:ilvl w:val="4"/>
          <w:numId w:val="72"/>
        </w:numPr>
      </w:pPr>
      <w:r>
        <w:rPr>
          <w:rFonts w:hint="eastAsia"/>
        </w:rPr>
        <w:t>消防系统日常巡检</w:t>
      </w:r>
    </w:p>
    <w:p>
      <w:pPr>
        <w:ind w:firstLine="480" w:firstLineChars="200"/>
        <w:rPr>
          <w:rFonts w:hAnsi="宋体" w:cs="Arial"/>
        </w:rPr>
      </w:pPr>
      <w:r>
        <w:rPr>
          <w:rFonts w:hint="eastAsia" w:hAnsi="宋体" w:cs="Arial"/>
        </w:rPr>
        <w:t>消防系统投入使用时，应具备下列文件，并应有电子备份档案：</w:t>
      </w:r>
    </w:p>
    <w:p>
      <w:pPr>
        <w:pStyle w:val="135"/>
        <w:numPr>
          <w:ilvl w:val="0"/>
          <w:numId w:val="111"/>
        </w:numPr>
        <w:ind w:left="0" w:firstLine="420" w:firstLineChars="175"/>
        <w:rPr>
          <w:rFonts w:hAnsi="宋体" w:cs="Arial"/>
        </w:rPr>
      </w:pPr>
      <w:r>
        <w:rPr>
          <w:rFonts w:hint="eastAsia" w:hAnsi="宋体" w:cs="Arial"/>
        </w:rPr>
        <w:t>系统及其主要组件的使用、维护说明书。</w:t>
      </w:r>
    </w:p>
    <w:p>
      <w:pPr>
        <w:pStyle w:val="135"/>
        <w:numPr>
          <w:ilvl w:val="0"/>
          <w:numId w:val="111"/>
        </w:numPr>
        <w:ind w:left="0" w:firstLine="420" w:firstLineChars="175"/>
        <w:rPr>
          <w:rFonts w:hAnsi="宋体" w:cs="Arial"/>
        </w:rPr>
      </w:pPr>
      <w:r>
        <w:rPr>
          <w:rFonts w:hint="eastAsia" w:hAnsi="宋体" w:cs="Arial"/>
        </w:rPr>
        <w:t>系统工作流程图和操作规程。</w:t>
      </w:r>
    </w:p>
    <w:p>
      <w:pPr>
        <w:pStyle w:val="135"/>
        <w:numPr>
          <w:ilvl w:val="0"/>
          <w:numId w:val="111"/>
        </w:numPr>
        <w:ind w:left="0" w:firstLine="420" w:firstLineChars="175"/>
        <w:rPr>
          <w:rFonts w:hAnsi="宋体" w:cs="Arial"/>
        </w:rPr>
      </w:pPr>
      <w:r>
        <w:rPr>
          <w:rFonts w:hint="eastAsia" w:hAnsi="宋体" w:cs="Arial"/>
        </w:rPr>
        <w:t>系统维护检查记录表。</w:t>
      </w:r>
    </w:p>
    <w:p>
      <w:pPr>
        <w:pStyle w:val="135"/>
        <w:numPr>
          <w:ilvl w:val="0"/>
          <w:numId w:val="111"/>
        </w:numPr>
        <w:ind w:left="0" w:firstLine="420" w:firstLineChars="175"/>
        <w:rPr>
          <w:rFonts w:hAnsi="宋体" w:cs="Arial"/>
        </w:rPr>
      </w:pPr>
      <w:r>
        <w:rPr>
          <w:rFonts w:hint="eastAsia" w:hAnsi="宋体" w:cs="Arial"/>
        </w:rPr>
        <w:t>值班员守则和运行日志。</w:t>
      </w:r>
    </w:p>
    <w:p>
      <w:pPr>
        <w:ind w:firstLine="480" w:firstLineChars="200"/>
        <w:rPr>
          <w:rFonts w:hAnsi="宋体" w:cs="Arial"/>
        </w:rPr>
      </w:pPr>
      <w:r>
        <w:rPr>
          <w:rFonts w:hint="eastAsia" w:hAnsi="宋体" w:cs="Arial"/>
        </w:rPr>
        <w:t>应按检查类别规定对消防系统进行检查，检查中发现的问题应及时处理。</w:t>
      </w:r>
    </w:p>
    <w:p>
      <w:pPr>
        <w:pStyle w:val="7"/>
        <w:numPr>
          <w:ilvl w:val="4"/>
          <w:numId w:val="72"/>
        </w:numPr>
      </w:pPr>
      <w:r>
        <w:rPr>
          <w:rFonts w:hint="eastAsia"/>
        </w:rPr>
        <w:t>智能化系统日常巡检</w:t>
      </w:r>
    </w:p>
    <w:p>
      <w:pPr>
        <w:pStyle w:val="8"/>
        <w:numPr>
          <w:ilvl w:val="5"/>
          <w:numId w:val="72"/>
        </w:numPr>
      </w:pPr>
      <w:r>
        <w:rPr>
          <w:rFonts w:hint="eastAsia"/>
        </w:rPr>
        <w:t>工作要求及目标</w:t>
      </w:r>
    </w:p>
    <w:p>
      <w:pPr>
        <w:ind w:firstLine="480" w:firstLineChars="200"/>
        <w:rPr>
          <w:rFonts w:hAnsi="宋体" w:cs="Arial"/>
        </w:rPr>
      </w:pPr>
      <w:r>
        <w:rPr>
          <w:rFonts w:hint="eastAsia" w:hAnsi="宋体" w:cs="Arial"/>
        </w:rPr>
        <w:t>应熟悉数据中心基本情况、安防系统设备、设施及布置情况，熟悉安防系统技术要求及功能要求。</w:t>
      </w:r>
    </w:p>
    <w:p>
      <w:pPr>
        <w:ind w:firstLine="480" w:firstLineChars="200"/>
        <w:rPr>
          <w:rFonts w:hAnsi="宋体" w:cs="Arial"/>
        </w:rPr>
      </w:pPr>
      <w:r>
        <w:rPr>
          <w:rFonts w:hint="eastAsia" w:hAnsi="宋体" w:cs="Arial"/>
        </w:rPr>
        <w:t>安保运行工作人员应熟练掌握各种情况的处置方案，遇可疑情况、发现重大安全隐患或事故积极做出反映，并迅速上报。</w:t>
      </w:r>
    </w:p>
    <w:p>
      <w:pPr>
        <w:pStyle w:val="8"/>
        <w:numPr>
          <w:ilvl w:val="5"/>
          <w:numId w:val="72"/>
        </w:numPr>
      </w:pPr>
      <w:r>
        <w:rPr>
          <w:rFonts w:hint="eastAsia"/>
        </w:rPr>
        <w:t>详细内容及要求</w:t>
      </w:r>
    </w:p>
    <w:p>
      <w:pPr>
        <w:pStyle w:val="135"/>
        <w:numPr>
          <w:ilvl w:val="2"/>
          <w:numId w:val="112"/>
        </w:numPr>
        <w:spacing w:before="120"/>
        <w:ind w:left="0" w:firstLine="482"/>
        <w:rPr>
          <w:rFonts w:hAnsi="宋体" w:cs="Arial"/>
          <w:b/>
          <w:bCs/>
        </w:rPr>
      </w:pPr>
      <w:r>
        <w:rPr>
          <w:rFonts w:hint="eastAsia" w:hAnsi="宋体" w:cs="Arial"/>
          <w:b/>
          <w:bCs/>
        </w:rPr>
        <w:t>入侵报警系统</w:t>
      </w:r>
    </w:p>
    <w:p>
      <w:pPr>
        <w:pStyle w:val="135"/>
        <w:numPr>
          <w:ilvl w:val="0"/>
          <w:numId w:val="113"/>
        </w:numPr>
        <w:ind w:left="0" w:firstLine="420" w:firstLineChars="175"/>
        <w:rPr>
          <w:rFonts w:hAnsi="宋体" w:cs="Arial"/>
        </w:rPr>
      </w:pPr>
      <w:r>
        <w:rPr>
          <w:rFonts w:hint="eastAsia" w:hAnsi="宋体" w:cs="Arial"/>
        </w:rPr>
        <w:t>入侵报警系统应设置和视频监控系统、灯控系统的联动控制方案，并根据需要及时调整。</w:t>
      </w:r>
    </w:p>
    <w:p>
      <w:pPr>
        <w:pStyle w:val="135"/>
        <w:numPr>
          <w:ilvl w:val="0"/>
          <w:numId w:val="113"/>
        </w:numPr>
        <w:ind w:left="0" w:firstLine="420" w:firstLineChars="175"/>
        <w:rPr>
          <w:rFonts w:hAnsi="宋体" w:cs="Arial"/>
        </w:rPr>
      </w:pPr>
      <w:r>
        <w:rPr>
          <w:rFonts w:hint="eastAsia" w:hAnsi="宋体" w:cs="Arial"/>
        </w:rPr>
        <w:t>应及时处理入侵报警消息，调取相应的联动控制视频进行确认，必要时安保人员现场确认，并记录处理结果。</w:t>
      </w:r>
    </w:p>
    <w:p>
      <w:pPr>
        <w:pStyle w:val="135"/>
        <w:numPr>
          <w:ilvl w:val="0"/>
          <w:numId w:val="113"/>
        </w:numPr>
        <w:ind w:left="0" w:firstLine="420" w:firstLineChars="175"/>
        <w:rPr>
          <w:rFonts w:hAnsi="宋体" w:cs="Arial"/>
        </w:rPr>
      </w:pPr>
      <w:r>
        <w:rPr>
          <w:rFonts w:hint="eastAsia" w:hAnsi="宋体" w:cs="Arial"/>
        </w:rPr>
        <w:t>应制定应急处理预案，紧急情况立即上报并按预案进行处理。</w:t>
      </w:r>
    </w:p>
    <w:p>
      <w:pPr>
        <w:pStyle w:val="135"/>
        <w:numPr>
          <w:ilvl w:val="0"/>
          <w:numId w:val="113"/>
        </w:numPr>
        <w:ind w:left="0" w:firstLine="420" w:firstLineChars="175"/>
        <w:rPr>
          <w:rFonts w:hAnsi="宋体" w:cs="Arial"/>
        </w:rPr>
      </w:pPr>
      <w:r>
        <w:rPr>
          <w:rFonts w:hint="eastAsia" w:hAnsi="宋体" w:cs="Arial"/>
        </w:rPr>
        <w:t>应配置运行值班人员，确保入侵报警的及时响应。</w:t>
      </w:r>
    </w:p>
    <w:p>
      <w:pPr>
        <w:pStyle w:val="135"/>
        <w:numPr>
          <w:ilvl w:val="2"/>
          <w:numId w:val="112"/>
        </w:numPr>
        <w:spacing w:before="120"/>
        <w:ind w:left="0" w:firstLine="482"/>
        <w:rPr>
          <w:rFonts w:hAnsi="宋体" w:cs="Arial"/>
          <w:b/>
          <w:bCs/>
        </w:rPr>
      </w:pPr>
      <w:r>
        <w:rPr>
          <w:rFonts w:hint="eastAsia" w:hAnsi="宋体" w:cs="Arial"/>
          <w:b/>
          <w:bCs/>
        </w:rPr>
        <w:t>视频监控系统</w:t>
      </w:r>
    </w:p>
    <w:p>
      <w:pPr>
        <w:pStyle w:val="135"/>
        <w:numPr>
          <w:ilvl w:val="0"/>
          <w:numId w:val="114"/>
        </w:numPr>
        <w:ind w:left="0" w:firstLine="420" w:firstLineChars="175"/>
        <w:rPr>
          <w:rFonts w:hAnsi="宋体" w:cs="Arial"/>
        </w:rPr>
      </w:pPr>
      <w:r>
        <w:rPr>
          <w:rFonts w:hint="eastAsia" w:hAnsi="宋体" w:cs="Arial"/>
        </w:rPr>
        <w:t>值班人员应按运行管理规定对设备和系统进行操作和管理，禁止擅自变动监控系统模式。</w:t>
      </w:r>
    </w:p>
    <w:p>
      <w:pPr>
        <w:pStyle w:val="135"/>
        <w:numPr>
          <w:ilvl w:val="0"/>
          <w:numId w:val="114"/>
        </w:numPr>
        <w:ind w:left="0" w:firstLine="420" w:firstLineChars="175"/>
        <w:rPr>
          <w:rFonts w:hAnsi="宋体" w:cs="Arial"/>
        </w:rPr>
      </w:pPr>
      <w:r>
        <w:rPr>
          <w:rFonts w:hint="eastAsia" w:hAnsi="宋体" w:cs="Arial"/>
        </w:rPr>
        <w:t>应设置摄像机预置位和联动模式，并根据需要及时调整。</w:t>
      </w:r>
    </w:p>
    <w:p>
      <w:pPr>
        <w:pStyle w:val="135"/>
        <w:numPr>
          <w:ilvl w:val="0"/>
          <w:numId w:val="114"/>
        </w:numPr>
        <w:ind w:left="0" w:firstLine="420" w:firstLineChars="175"/>
        <w:rPr>
          <w:rFonts w:hAnsi="宋体" w:cs="Arial"/>
        </w:rPr>
      </w:pPr>
      <w:r>
        <w:rPr>
          <w:rFonts w:hint="eastAsia" w:hAnsi="宋体" w:cs="Arial"/>
        </w:rPr>
        <w:t>应建立值班制度，重要性高的数据中心应设专人值守，对图像实时监控。</w:t>
      </w:r>
    </w:p>
    <w:p>
      <w:pPr>
        <w:pStyle w:val="5"/>
        <w:numPr>
          <w:ilvl w:val="2"/>
          <w:numId w:val="72"/>
        </w:numPr>
      </w:pPr>
      <w:bookmarkStart w:id="88" w:name="_Toc26404"/>
      <w:r>
        <w:rPr>
          <w:rFonts w:hint="eastAsia"/>
        </w:rPr>
        <w:t>技术支撑保障服务要求（项号5）</w:t>
      </w:r>
      <w:bookmarkEnd w:id="88"/>
    </w:p>
    <w:p>
      <w:pPr>
        <w:pStyle w:val="6"/>
        <w:numPr>
          <w:ilvl w:val="3"/>
          <w:numId w:val="72"/>
        </w:numPr>
        <w:rPr>
          <w:color w:val="auto"/>
        </w:rPr>
      </w:pPr>
      <w:r>
        <w:rPr>
          <w:rFonts w:hint="eastAsia"/>
          <w:color w:val="auto"/>
        </w:rPr>
        <w:t>预防性维护服务</w:t>
      </w:r>
    </w:p>
    <w:p>
      <w:pPr>
        <w:pStyle w:val="135"/>
        <w:numPr>
          <w:ilvl w:val="0"/>
          <w:numId w:val="115"/>
        </w:numPr>
        <w:ind w:left="0" w:firstLine="420" w:firstLineChars="175"/>
        <w:rPr>
          <w:rFonts w:hAnsi="宋体" w:cs="Arial"/>
        </w:rPr>
      </w:pPr>
      <w:r>
        <w:rPr>
          <w:rFonts w:hint="eastAsia" w:hAnsi="宋体" w:cs="Arial"/>
        </w:rPr>
        <w:t>中标方应根据数字福建云计算中心（政务云）基础设施设备实际情况并结合供应商合同条款合理制定预防性维护计划，监督、管理供应商共同严格执行，确保数字福建云计算中心（政务云）基础设施设备运行良好并尽量延长设备使用寿命。</w:t>
      </w:r>
    </w:p>
    <w:p>
      <w:pPr>
        <w:pStyle w:val="135"/>
        <w:numPr>
          <w:ilvl w:val="0"/>
          <w:numId w:val="115"/>
        </w:numPr>
        <w:ind w:left="0" w:firstLine="420" w:firstLineChars="175"/>
        <w:rPr>
          <w:rFonts w:hAnsi="宋体" w:cs="Arial"/>
        </w:rPr>
      </w:pPr>
      <w:r>
        <w:rPr>
          <w:rFonts w:hint="eastAsia" w:hAnsi="宋体" w:cs="Arial"/>
        </w:rPr>
        <w:t>应制定维护工作计划，维护工作计划应包括日常维护、定期维护和应对特殊情况的应急维护三项工作内容。</w:t>
      </w:r>
    </w:p>
    <w:p>
      <w:pPr>
        <w:pStyle w:val="135"/>
        <w:numPr>
          <w:ilvl w:val="0"/>
          <w:numId w:val="115"/>
        </w:numPr>
        <w:ind w:left="0" w:firstLine="420" w:firstLineChars="175"/>
        <w:rPr>
          <w:rFonts w:hAnsi="宋体" w:cs="Arial"/>
        </w:rPr>
      </w:pPr>
      <w:r>
        <w:rPr>
          <w:rFonts w:hint="eastAsia" w:hAnsi="宋体" w:cs="Arial"/>
        </w:rPr>
        <w:t>维护工作应准备相应的工具和材料，应建立常用设备和配件的备品库以及检修工具库。</w:t>
      </w:r>
    </w:p>
    <w:p>
      <w:pPr>
        <w:pStyle w:val="135"/>
        <w:numPr>
          <w:ilvl w:val="0"/>
          <w:numId w:val="115"/>
        </w:numPr>
        <w:ind w:left="0" w:firstLine="420" w:firstLineChars="175"/>
        <w:rPr>
          <w:rFonts w:hAnsi="宋体" w:cs="Arial"/>
        </w:rPr>
      </w:pPr>
      <w:r>
        <w:rPr>
          <w:rFonts w:hint="eastAsia" w:hAnsi="宋体" w:cs="Arial"/>
        </w:rPr>
        <w:t>每次维护工作应有文字记录，完成维护工作报告，并应有相关人员签字确认。</w:t>
      </w:r>
    </w:p>
    <w:p>
      <w:pPr>
        <w:pStyle w:val="7"/>
        <w:numPr>
          <w:ilvl w:val="4"/>
          <w:numId w:val="72"/>
        </w:numPr>
      </w:pPr>
      <w:r>
        <w:rPr>
          <w:rFonts w:hint="eastAsia"/>
        </w:rPr>
        <w:t>电气系统预防性维护</w:t>
      </w:r>
    </w:p>
    <w:p>
      <w:pPr>
        <w:pStyle w:val="135"/>
        <w:numPr>
          <w:ilvl w:val="2"/>
          <w:numId w:val="116"/>
        </w:numPr>
        <w:spacing w:before="120"/>
        <w:ind w:left="0" w:firstLine="482"/>
        <w:rPr>
          <w:rFonts w:hAnsi="宋体" w:cs="Arial"/>
          <w:b/>
          <w:bCs/>
        </w:rPr>
      </w:pPr>
      <w:r>
        <w:rPr>
          <w:rFonts w:hint="eastAsia" w:hAnsi="宋体" w:cs="Arial"/>
          <w:b/>
          <w:bCs/>
        </w:rPr>
        <w:t>高压配电设备</w:t>
      </w:r>
    </w:p>
    <w:p>
      <w:pPr>
        <w:pStyle w:val="135"/>
        <w:numPr>
          <w:ilvl w:val="0"/>
          <w:numId w:val="117"/>
        </w:numPr>
        <w:ind w:left="0" w:firstLine="420" w:firstLineChars="175"/>
        <w:rPr>
          <w:rFonts w:hAnsi="宋体" w:cs="Arial"/>
        </w:rPr>
      </w:pPr>
      <w:r>
        <w:rPr>
          <w:rFonts w:hint="eastAsia" w:hAnsi="宋体" w:cs="Arial"/>
        </w:rPr>
        <w:t>高压配电设备维护应遵守一人操作、一人监护的原则。</w:t>
      </w:r>
    </w:p>
    <w:p>
      <w:pPr>
        <w:pStyle w:val="135"/>
        <w:numPr>
          <w:ilvl w:val="0"/>
          <w:numId w:val="117"/>
        </w:numPr>
        <w:ind w:left="0" w:firstLine="420" w:firstLineChars="175"/>
        <w:rPr>
          <w:rFonts w:hAnsi="宋体" w:cs="Arial"/>
        </w:rPr>
      </w:pPr>
      <w:r>
        <w:rPr>
          <w:rFonts w:hint="eastAsia" w:hAnsi="宋体" w:cs="Arial"/>
        </w:rPr>
        <w:t>应按照当地供电部门规定的时间和检测内容要求对高压供配电设备进行预防性维护，并出具检测报告</w:t>
      </w:r>
    </w:p>
    <w:p>
      <w:pPr>
        <w:pStyle w:val="135"/>
        <w:numPr>
          <w:ilvl w:val="0"/>
          <w:numId w:val="117"/>
        </w:numPr>
        <w:ind w:left="0" w:firstLine="420" w:firstLineChars="175"/>
        <w:rPr>
          <w:rFonts w:hAnsi="宋体" w:cs="Arial"/>
        </w:rPr>
      </w:pPr>
      <w:r>
        <w:rPr>
          <w:rFonts w:hint="eastAsia" w:hAnsi="宋体" w:cs="Arial"/>
        </w:rPr>
        <w:t>应每半年进行高压供电系统的应急演练。</w:t>
      </w:r>
    </w:p>
    <w:p>
      <w:pPr>
        <w:pStyle w:val="135"/>
        <w:numPr>
          <w:ilvl w:val="0"/>
          <w:numId w:val="117"/>
        </w:numPr>
        <w:ind w:left="0" w:firstLine="420" w:firstLineChars="175"/>
        <w:rPr>
          <w:rFonts w:hAnsi="宋体" w:cs="Arial"/>
        </w:rPr>
      </w:pPr>
      <w:r>
        <w:rPr>
          <w:rFonts w:hint="eastAsia" w:hAnsi="宋体" w:cs="Arial"/>
        </w:rPr>
        <w:t>高压配电设备应每月进行1次例行维护，例行维护应包括但不限于《高压配电设备例行维护表》所列内容。</w:t>
      </w:r>
    </w:p>
    <w:p>
      <w:pPr>
        <w:pStyle w:val="11"/>
        <w:numPr>
          <w:ilvl w:val="8"/>
          <w:numId w:val="72"/>
        </w:numPr>
      </w:pPr>
      <w:bookmarkStart w:id="89" w:name="_Toc165045285"/>
      <w:r>
        <w:rPr>
          <w:rFonts w:hint="eastAsia"/>
        </w:rPr>
        <w:t>高压配电设备例行维护表</w:t>
      </w:r>
      <w:bookmarkEnd w:id="89"/>
    </w:p>
    <w:tbl>
      <w:tblPr>
        <w:tblStyle w:val="75"/>
        <w:tblW w:w="9049" w:type="dxa"/>
        <w:tblInd w:w="0" w:type="dxa"/>
        <w:tblLayout w:type="autofit"/>
        <w:tblCellMar>
          <w:top w:w="0" w:type="dxa"/>
          <w:left w:w="108" w:type="dxa"/>
          <w:bottom w:w="0" w:type="dxa"/>
          <w:right w:w="108" w:type="dxa"/>
        </w:tblCellMar>
      </w:tblPr>
      <w:tblGrid>
        <w:gridCol w:w="820"/>
        <w:gridCol w:w="3410"/>
        <w:gridCol w:w="4819"/>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341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4819"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配电柜温升检查</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检查断路器、熔断器、电缆、电气连接等处温升</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341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直流操作电源电池外观检查</w:t>
            </w:r>
          </w:p>
        </w:tc>
        <w:tc>
          <w:tcPr>
            <w:tcW w:w="4819"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电池有无漏液、鼓包等异常现象</w:t>
            </w:r>
          </w:p>
        </w:tc>
      </w:tr>
    </w:tbl>
    <w:p>
      <w:pPr>
        <w:pStyle w:val="135"/>
        <w:numPr>
          <w:ilvl w:val="0"/>
          <w:numId w:val="117"/>
        </w:numPr>
        <w:ind w:left="0" w:firstLine="420" w:firstLineChars="175"/>
        <w:rPr>
          <w:rFonts w:hAnsi="宋体" w:cs="Arial"/>
        </w:rPr>
      </w:pPr>
      <w:r>
        <w:rPr>
          <w:rFonts w:hint="eastAsia" w:hAnsi="宋体" w:cs="Arial"/>
        </w:rPr>
        <w:t>应每年进行1次预防性维护，预防性维护应包括但不限于《高压配电设备预防性维护表》内容。</w:t>
      </w:r>
    </w:p>
    <w:p>
      <w:pPr>
        <w:pStyle w:val="11"/>
        <w:numPr>
          <w:ilvl w:val="8"/>
          <w:numId w:val="72"/>
        </w:numPr>
      </w:pPr>
      <w:bookmarkStart w:id="90" w:name="_Toc165045286"/>
      <w:r>
        <w:rPr>
          <w:rFonts w:hint="eastAsia"/>
        </w:rPr>
        <w:t>高压配电设备预防性维护表</w:t>
      </w:r>
      <w:bookmarkEnd w:id="90"/>
    </w:p>
    <w:tbl>
      <w:tblPr>
        <w:tblStyle w:val="75"/>
        <w:tblW w:w="9049" w:type="dxa"/>
        <w:tblInd w:w="0" w:type="dxa"/>
        <w:tblLayout w:type="autofit"/>
        <w:tblCellMar>
          <w:top w:w="0" w:type="dxa"/>
          <w:left w:w="108" w:type="dxa"/>
          <w:bottom w:w="0" w:type="dxa"/>
          <w:right w:w="108" w:type="dxa"/>
        </w:tblCellMar>
      </w:tblPr>
      <w:tblGrid>
        <w:gridCol w:w="820"/>
        <w:gridCol w:w="3410"/>
        <w:gridCol w:w="4819"/>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341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4819"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主接地检查</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接地主回路完整性或电阻测试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整柜的主回路试验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主回路电阻测试、耐压试验（破坏性试验，非必要不推荐）</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避雷装置试验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避雷器、监测仪检查与测试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电流互感器试验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极性、变比及励磁特性曲线校核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电压互感器试验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变比、空载电流等测试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保护继电器试验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校验及保护、信号、测量功能传动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五防联锁试验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机械、电气联锁验证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控制箱二次回路绝缘试验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兆欧表对二次回路绝缘测试 1000V  1min</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主回路试验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主回路电阻测试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分、合闸线圈试验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直流电阻检测、低电压动作试验</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操作机构内部机械元件维护</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调整、维修、润滑等深度维护（用专用溶剂，专用油脂），及损耗件更换；</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断路器控制部分绝缘试验</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分合闸线圈、辅助触点、继电器、储能电机等二次元件的绝缘电阻测试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真空灭弧室破损检查</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耐压试验（破坏性试验，非必要不推荐）</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电缆局部放电检测</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使用专有仪器带电检测局放情况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中压熔断器特性检测（一次熔断器及PT熔断器）</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使用专有仪器，对高压熔断器进行预防性故障诊断检测</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断路器机械特性测试</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使用专有仪器，对断路器机械特性测试，并自动生成报告</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断路器整定</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检查记录电流和时间整定值</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手车</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检查手车机械结构，推入、拉出通畅</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互锁功能</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检查配电柜互锁功能是否满足当前使用需求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直流操作电源电池核对性放电测试</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对电池进行放电测试，查找有无落后电池</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341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直流操作电源设备清洁</w:t>
            </w:r>
          </w:p>
        </w:tc>
        <w:tc>
          <w:tcPr>
            <w:tcW w:w="4819"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打扫充电器表面、进出风口、风扇及过滤网或通风格栅灰尘</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w:t>
            </w:r>
          </w:p>
        </w:tc>
        <w:tc>
          <w:tcPr>
            <w:tcW w:w="341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直流操作电源绝缘告警测试</w:t>
            </w:r>
          </w:p>
        </w:tc>
        <w:tc>
          <w:tcPr>
            <w:tcW w:w="4819"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模拟测试正对地、负对地绝缘下降时，绝缘检测仪能否告警</w:t>
            </w:r>
          </w:p>
        </w:tc>
      </w:tr>
    </w:tbl>
    <w:p>
      <w:pPr>
        <w:pStyle w:val="135"/>
        <w:numPr>
          <w:ilvl w:val="0"/>
          <w:numId w:val="117"/>
        </w:numPr>
        <w:ind w:left="0" w:firstLine="420" w:firstLineChars="175"/>
        <w:rPr>
          <w:rFonts w:hAnsi="宋体" w:cs="Arial"/>
        </w:rPr>
      </w:pPr>
      <w:r>
        <w:rPr>
          <w:rFonts w:hint="eastAsia" w:hAnsi="宋体" w:cs="Arial"/>
        </w:rPr>
        <w:t>高压配电设备应每3年进行1次厂家级预防性维护，厂家级预防性维护应包括但不限于《高压配电设备厂家级预防性维护表》所列内容。</w:t>
      </w:r>
    </w:p>
    <w:p>
      <w:pPr>
        <w:pStyle w:val="11"/>
        <w:numPr>
          <w:ilvl w:val="8"/>
          <w:numId w:val="72"/>
        </w:numPr>
      </w:pPr>
      <w:bookmarkStart w:id="91" w:name="_Toc165045287"/>
      <w:r>
        <w:rPr>
          <w:rFonts w:hint="eastAsia"/>
        </w:rPr>
        <w:t>高压配电设备厂家级预防性维护表</w:t>
      </w:r>
      <w:bookmarkEnd w:id="91"/>
    </w:p>
    <w:tbl>
      <w:tblPr>
        <w:tblStyle w:val="75"/>
        <w:tblW w:w="9049" w:type="dxa"/>
        <w:tblInd w:w="0" w:type="dxa"/>
        <w:tblLayout w:type="autofit"/>
        <w:tblCellMar>
          <w:top w:w="0" w:type="dxa"/>
          <w:left w:w="108" w:type="dxa"/>
          <w:bottom w:w="0" w:type="dxa"/>
          <w:right w:w="108" w:type="dxa"/>
        </w:tblCellMar>
      </w:tblPr>
      <w:tblGrid>
        <w:gridCol w:w="828"/>
        <w:gridCol w:w="1843"/>
        <w:gridCol w:w="1560"/>
        <w:gridCol w:w="4818"/>
      </w:tblGrid>
      <w:tr>
        <w:tblPrEx>
          <w:tblCellMar>
            <w:top w:w="0" w:type="dxa"/>
            <w:left w:w="108" w:type="dxa"/>
            <w:bottom w:w="0" w:type="dxa"/>
            <w:right w:w="108" w:type="dxa"/>
          </w:tblCellMar>
        </w:tblPrEx>
        <w:trPr>
          <w:tblHeader/>
        </w:trPr>
        <w:tc>
          <w:tcPr>
            <w:tcW w:w="828"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43"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分类</w:t>
            </w:r>
          </w:p>
        </w:tc>
        <w:tc>
          <w:tcPr>
            <w:tcW w:w="15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481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8"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母线室</w:t>
            </w: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清扫清洁</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主回路、绝缘件使用无水乙醇清洁</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力矩紧固校验</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母排连接螺栓力矩紧固检查，应无松动，力矩标准70N.M</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绝缘件维护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检查主母线柜间绝缘套管、白色绝缘板、静触头盒是否有破损，放电、闪络等，并使用无水乙醇清洁</w:t>
            </w:r>
          </w:p>
        </w:tc>
      </w:tr>
      <w:tr>
        <w:tblPrEx>
          <w:tblCellMar>
            <w:top w:w="0" w:type="dxa"/>
            <w:left w:w="108" w:type="dxa"/>
            <w:bottom w:w="0" w:type="dxa"/>
            <w:right w:w="108" w:type="dxa"/>
          </w:tblCellMar>
        </w:tblPrEx>
        <w:tc>
          <w:tcPr>
            <w:tcW w:w="828"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4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电缆室</w:t>
            </w: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清扫清洁</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主回路、绝缘件、电缆头、互感器使用无水乙醇清洁</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力矩紧固校验</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电缆连接螺栓力应无松动，矩紧固检查</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绝缘件维护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检查穿墙套管、绝缘板、电缆头、互感器是否有破损，放电、闪络等，并使用无水乙醇清洁</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接地开关维护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操作地刀、检查闭锁连杆、位置指示是否正常，辅助开关触点转换正常，触头清洁润滑</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密封性维护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检查电缆室对动物和水汽的密封性、完善封堵</w:t>
            </w:r>
          </w:p>
        </w:tc>
      </w:tr>
      <w:tr>
        <w:tblPrEx>
          <w:tblCellMar>
            <w:top w:w="0" w:type="dxa"/>
            <w:left w:w="108" w:type="dxa"/>
            <w:bottom w:w="0" w:type="dxa"/>
            <w:right w:w="108" w:type="dxa"/>
          </w:tblCellMar>
        </w:tblPrEx>
        <w:tc>
          <w:tcPr>
            <w:tcW w:w="828"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4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手车室</w:t>
            </w: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清扫清洁</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触头盒、帘门使用无水乙醇清洁</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力矩紧固校验</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静触头力矩紧固、帘门机构螺栓、卡簧完好性检查</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绝缘件维护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检查触头盒是否有破损，放电、闪络等，并使用无水乙醇清洁</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维护润滑</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对帘门机构、手车接地静触头和导轨清洁润滑</w:t>
            </w:r>
          </w:p>
        </w:tc>
      </w:tr>
      <w:tr>
        <w:tblPrEx>
          <w:tblCellMar>
            <w:top w:w="0" w:type="dxa"/>
            <w:left w:w="108" w:type="dxa"/>
            <w:bottom w:w="0" w:type="dxa"/>
            <w:right w:w="108" w:type="dxa"/>
          </w:tblCellMar>
        </w:tblPrEx>
        <w:tc>
          <w:tcPr>
            <w:tcW w:w="828"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43"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低压室</w:t>
            </w: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二次元件功能性检查</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二次元件功能可靠，无松动、放电、烧蚀</w:t>
            </w:r>
          </w:p>
        </w:tc>
      </w:tr>
      <w:tr>
        <w:tblPrEx>
          <w:tblCellMar>
            <w:top w:w="0" w:type="dxa"/>
            <w:left w:w="108" w:type="dxa"/>
            <w:bottom w:w="0" w:type="dxa"/>
            <w:right w:w="108" w:type="dxa"/>
          </w:tblCellMar>
        </w:tblPrEx>
        <w:tc>
          <w:tcPr>
            <w:tcW w:w="828"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端子接线紧固性校验</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接线紧固，端子无烧蚀、虚接</w:t>
            </w:r>
          </w:p>
        </w:tc>
      </w:tr>
      <w:tr>
        <w:tblPrEx>
          <w:tblCellMar>
            <w:top w:w="0" w:type="dxa"/>
            <w:left w:w="108" w:type="dxa"/>
            <w:bottom w:w="0" w:type="dxa"/>
            <w:right w:w="108" w:type="dxa"/>
          </w:tblCellMar>
        </w:tblPrEx>
        <w:tc>
          <w:tcPr>
            <w:tcW w:w="828" w:type="dxa"/>
            <w:vMerge w:val="restart"/>
            <w:tcBorders>
              <w:top w:val="nil"/>
              <w:left w:val="double" w:color="auto" w:sz="6" w:space="0"/>
              <w:bottom w:val="double" w:color="000000"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43"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断路器</w:t>
            </w: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机构维护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操作机构内部检查，是否有零部件缺损，清洁机构并润滑</w:t>
            </w:r>
          </w:p>
        </w:tc>
      </w:tr>
      <w:tr>
        <w:tblPrEx>
          <w:tblCellMar>
            <w:top w:w="0" w:type="dxa"/>
            <w:left w:w="108" w:type="dxa"/>
            <w:bottom w:w="0" w:type="dxa"/>
            <w:right w:w="108" w:type="dxa"/>
          </w:tblCellMar>
        </w:tblPrEx>
        <w:tc>
          <w:tcPr>
            <w:tcW w:w="828"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二次部分检查</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分合闸线圈、储能电机、继电器、微动开关等接线紧固检查</w:t>
            </w:r>
          </w:p>
        </w:tc>
      </w:tr>
      <w:tr>
        <w:tblPrEx>
          <w:tblCellMar>
            <w:top w:w="0" w:type="dxa"/>
            <w:left w:w="108" w:type="dxa"/>
            <w:bottom w:w="0" w:type="dxa"/>
            <w:right w:w="108" w:type="dxa"/>
          </w:tblCellMar>
        </w:tblPrEx>
        <w:tc>
          <w:tcPr>
            <w:tcW w:w="828"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信号板检查维护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信号板调整或更换</w:t>
            </w:r>
          </w:p>
        </w:tc>
      </w:tr>
      <w:tr>
        <w:tblPrEx>
          <w:tblCellMar>
            <w:top w:w="0" w:type="dxa"/>
            <w:left w:w="108" w:type="dxa"/>
            <w:bottom w:w="0" w:type="dxa"/>
            <w:right w:w="108" w:type="dxa"/>
          </w:tblCellMar>
        </w:tblPrEx>
        <w:tc>
          <w:tcPr>
            <w:tcW w:w="828"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机械联锁检查维护</w:t>
            </w:r>
          </w:p>
        </w:tc>
        <w:tc>
          <w:tcPr>
            <w:tcW w:w="481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机械联锁部分润滑验证，联锁可靠</w:t>
            </w:r>
          </w:p>
        </w:tc>
      </w:tr>
      <w:tr>
        <w:tblPrEx>
          <w:tblCellMar>
            <w:top w:w="0" w:type="dxa"/>
            <w:left w:w="108" w:type="dxa"/>
            <w:bottom w:w="0" w:type="dxa"/>
            <w:right w:w="108" w:type="dxa"/>
          </w:tblCellMar>
        </w:tblPrEx>
        <w:tc>
          <w:tcPr>
            <w:tcW w:w="828"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843"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5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触头触臂检查维护</w:t>
            </w:r>
          </w:p>
        </w:tc>
        <w:tc>
          <w:tcPr>
            <w:tcW w:w="481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触臂清洁，动触头清洁、润滑、紧固</w:t>
            </w:r>
          </w:p>
        </w:tc>
      </w:tr>
    </w:tbl>
    <w:p>
      <w:pPr>
        <w:pStyle w:val="135"/>
        <w:numPr>
          <w:ilvl w:val="2"/>
          <w:numId w:val="116"/>
        </w:numPr>
        <w:spacing w:before="120"/>
        <w:ind w:left="0" w:firstLine="482"/>
        <w:rPr>
          <w:rFonts w:hAnsi="宋体" w:cs="Arial"/>
          <w:b/>
          <w:bCs/>
        </w:rPr>
      </w:pPr>
      <w:r>
        <w:rPr>
          <w:rFonts w:hint="eastAsia" w:hAnsi="宋体" w:cs="Arial"/>
          <w:b/>
          <w:bCs/>
        </w:rPr>
        <w:t>电力变压器</w:t>
      </w:r>
    </w:p>
    <w:p>
      <w:pPr>
        <w:pStyle w:val="135"/>
        <w:numPr>
          <w:ilvl w:val="0"/>
          <w:numId w:val="118"/>
        </w:numPr>
        <w:ind w:left="0" w:firstLine="420" w:firstLineChars="175"/>
        <w:rPr>
          <w:rFonts w:hAnsi="宋体" w:cs="Arial"/>
        </w:rPr>
      </w:pPr>
      <w:r>
        <w:rPr>
          <w:rFonts w:hint="eastAsia" w:hAnsi="宋体" w:cs="Arial"/>
        </w:rPr>
        <w:t>电力变压器应每年进行1次预防性维护，预防性维护应包括但不限于《电力变压器预防性维护表》所列内容。</w:t>
      </w:r>
    </w:p>
    <w:p>
      <w:pPr>
        <w:pStyle w:val="11"/>
        <w:numPr>
          <w:ilvl w:val="8"/>
          <w:numId w:val="72"/>
        </w:numPr>
      </w:pPr>
      <w:bookmarkStart w:id="92" w:name="_Toc165045288"/>
      <w:r>
        <w:rPr>
          <w:rFonts w:hint="eastAsia"/>
        </w:rPr>
        <w:t>电力变压器预防性维护表</w:t>
      </w:r>
      <w:bookmarkEnd w:id="92"/>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外观检查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检查粉尘聚集情况、干燥情况、绕组外部环氧树脂表面及内部无变色</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电缆及母线连接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无过热氧化迹象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温控器整定值检查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报警及跳闸设定值正确。如有历史记录查看其内容，做好记录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风扇状态</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通过温控器手动启停风扇，检查其状况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绕组绝缘测试</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高压对低压、高压对地绝缘电阻 &gt; = 300MΩ，低压对地 &gt;= 100MΩ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铁芯绝缘电阻测试</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铁芯对夹件及地 &gt;= 2MΩ，穿心螺杆对铁芯及地 &gt;= 2MΩ</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中性点接地</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中性点接地无锈蚀、无氧化、接地良好、无松动</w:t>
            </w:r>
          </w:p>
        </w:tc>
      </w:tr>
    </w:tbl>
    <w:p>
      <w:pPr>
        <w:pStyle w:val="135"/>
        <w:numPr>
          <w:ilvl w:val="0"/>
          <w:numId w:val="118"/>
        </w:numPr>
        <w:ind w:left="0" w:firstLine="420" w:firstLineChars="175"/>
        <w:rPr>
          <w:rFonts w:hAnsi="宋体" w:cs="Arial"/>
        </w:rPr>
      </w:pPr>
      <w:r>
        <w:rPr>
          <w:rFonts w:hint="eastAsia" w:hAnsi="宋体" w:cs="Arial"/>
        </w:rPr>
        <w:t>应每3年进行1次厂家级预防性维护，厂家级预防性维护应包括但不限于《电力变压器厂家级预防性维护表》所列内容。</w:t>
      </w:r>
    </w:p>
    <w:p>
      <w:pPr>
        <w:pStyle w:val="11"/>
        <w:numPr>
          <w:ilvl w:val="8"/>
          <w:numId w:val="72"/>
        </w:numPr>
      </w:pPr>
      <w:bookmarkStart w:id="93" w:name="_Toc165045289"/>
      <w:r>
        <w:rPr>
          <w:rFonts w:hint="eastAsia"/>
        </w:rPr>
        <w:t>电力变压器厂家级预防性维护表</w:t>
      </w:r>
      <w:bookmarkEnd w:id="93"/>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清洁</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使用干燥的压缩空气（2～5个大气压）吹净通风道中的灰尘，然后用吸尘器洗净外部灰尘，尤其注意绝缘子、下垫块等处</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干燥处理</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如果绝缘电阻低，则需要用持续的热风对变压器进行干燥处理，直至绝缘阻值恢复合格</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电缆及母线连接紧固</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用扭力扳手校验、紧固连接螺栓</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冷却风机清洁润滑</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对冷却风扇的电机进行清洁和轴承润滑保养</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连锁锁具检查及润滑</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锁具功能检查、润滑</w:t>
            </w:r>
          </w:p>
        </w:tc>
      </w:tr>
    </w:tbl>
    <w:p>
      <w:pPr>
        <w:pStyle w:val="135"/>
        <w:numPr>
          <w:ilvl w:val="2"/>
          <w:numId w:val="116"/>
        </w:numPr>
        <w:spacing w:before="120"/>
        <w:ind w:left="0" w:firstLine="482"/>
        <w:rPr>
          <w:rFonts w:hAnsi="宋体" w:cs="Arial"/>
          <w:b/>
          <w:bCs/>
        </w:rPr>
      </w:pPr>
      <w:r>
        <w:rPr>
          <w:rFonts w:hint="eastAsia" w:hAnsi="宋体" w:cs="Arial"/>
          <w:b/>
          <w:bCs/>
        </w:rPr>
        <w:t>低压配电设备</w:t>
      </w:r>
    </w:p>
    <w:p>
      <w:pPr>
        <w:pStyle w:val="135"/>
        <w:numPr>
          <w:ilvl w:val="0"/>
          <w:numId w:val="119"/>
        </w:numPr>
        <w:ind w:left="0" w:firstLine="420" w:firstLineChars="175"/>
        <w:rPr>
          <w:rFonts w:hAnsi="宋体" w:cs="Arial"/>
        </w:rPr>
      </w:pPr>
      <w:r>
        <w:rPr>
          <w:rFonts w:hint="eastAsia" w:hAnsi="宋体" w:cs="Arial"/>
        </w:rPr>
        <w:t>低压配电设备维护应每月进行1次例行维护，例行维护应包括但不限于《低压配电设备例行性维护表》所列内容。</w:t>
      </w:r>
    </w:p>
    <w:p>
      <w:pPr>
        <w:pStyle w:val="11"/>
        <w:numPr>
          <w:ilvl w:val="8"/>
          <w:numId w:val="72"/>
        </w:numPr>
      </w:pPr>
      <w:bookmarkStart w:id="94" w:name="_Toc165045290"/>
      <w:r>
        <w:rPr>
          <w:rFonts w:hint="eastAsia"/>
        </w:rPr>
        <w:t>低压配电设备例行性维护表</w:t>
      </w:r>
      <w:bookmarkEnd w:id="94"/>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检查断路器、熔断器、电缆、电气连接等处温升</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防雷检查</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检查防雷元器件失效指示和断路器或熔断器开关的状态</w:t>
            </w:r>
          </w:p>
        </w:tc>
      </w:tr>
    </w:tbl>
    <w:p>
      <w:pPr>
        <w:pStyle w:val="135"/>
        <w:numPr>
          <w:ilvl w:val="0"/>
          <w:numId w:val="119"/>
        </w:numPr>
        <w:ind w:left="0" w:firstLine="420" w:firstLineChars="175"/>
        <w:rPr>
          <w:rFonts w:hAnsi="宋体" w:cs="Arial"/>
        </w:rPr>
      </w:pPr>
      <w:r>
        <w:rPr>
          <w:rFonts w:hint="eastAsia" w:hAnsi="宋体" w:cs="Arial"/>
        </w:rPr>
        <w:t>低压配电设备应定期进行预防性维护，每年进行1次。预防性维护应包括但不限于《低压配电设备预防性维护表》所列内容。</w:t>
      </w:r>
    </w:p>
    <w:p>
      <w:pPr>
        <w:pStyle w:val="11"/>
        <w:numPr>
          <w:ilvl w:val="8"/>
          <w:numId w:val="72"/>
        </w:numPr>
      </w:pPr>
      <w:bookmarkStart w:id="95" w:name="_Toc165045291"/>
      <w:r>
        <w:rPr>
          <w:rFonts w:hint="eastAsia"/>
        </w:rPr>
        <w:t>低压配电设备预防性维护表</w:t>
      </w:r>
      <w:bookmarkEnd w:id="95"/>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柜体外观检查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柜面无脱漆、变形；盘面标识清晰；柜内整体无异常情况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主母线及控制回路绝缘电阻检查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采用500VDC或1000VDC绝缘电阻测试仪测试，绝缘电阻值应不小于1000MΩ。测试时应考虑接地方式和二次控制功能，断开相应接地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接地连接检查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根据实际的接地系统要求检查系统及盘柜接地连接的可靠性；出线电缆的接地连接；盘柜门的等电位接地连接；</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母线及电缆连接力矩检查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用力矩扳手对主要连接部分进行紧固性检查，符合力矩要求；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抽屉回路机械性能检查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逐一对抽屉进行抽出、推入操作，检查其位置指示状态及可操作性</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断路器外观检查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外观正常（连接触头无过热氧化迹象、灭弧室外无喷弧痕迹、前面板完整无缺损、框架无变形、二次端子完好、二次线标识清晰……）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相与相及上下端口间绝缘检查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采用500DC绝缘电阻测试仪测试，绝缘电阻值应不小于1000MΩ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触头磨损检查（空气断路器）</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打开灭弧室盖，检查三相触头磨损程度是否在可接受范围</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脱扣力检查（空气断路器）</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采用专用仪器测试空气断路器主执行机构脱扣力</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机械操作检查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摇入摇出操作、手动储能、手动分合闸、框架夹头压紧力检查</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连锁功能检查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检查机械及电气连锁功能正常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机械特性测试（空气断路器）</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采用机械特性检查仪测试储能电机电流曲线及储能时间、分合速度、三相同期性、接触电阻、弹跳与超程等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保护单元动作特性检测</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采用保护单元测试仪对保护单元进行功能测试与选择性分析</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电容器外观检查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电容器外观无鼓肚变形、连接电缆无变色、接触器及串联电抗器等主要元件外观正常、柜内通风孔无遮挡防尘网无集尘……</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主进线谐波检测（带负载）</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用电能质量分析仪检测总谐波畸变率及各次谐波含量</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控制器设置及报警记录检查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检查其计量显示、参数设定、报警记录等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17</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各部电容的分相电流（带电）</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手动投入时用钳形电流表测试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18</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分步投切时接触器状态</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观察接触器投入、推出过程中的振动、噪音等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19</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分步投切时盘面指示检查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手动投切时观察功率因数、电流值、步数指示等显示变化</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风扇启动检查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手动启停风扇检查其功能状态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温度及烟雾报警装置检查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手动测试其工作状态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电容器容值测试（停电时）</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用电容表测试每组电容器的相间容值，不低于理论值的10％</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接触器回路电阻测试</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分项测量每一路接触器的接触电阻（停电状态下，手动推合）</w:t>
            </w:r>
          </w:p>
        </w:tc>
      </w:tr>
    </w:tbl>
    <w:p>
      <w:pPr>
        <w:pStyle w:val="135"/>
        <w:numPr>
          <w:ilvl w:val="2"/>
          <w:numId w:val="116"/>
        </w:numPr>
        <w:spacing w:before="120"/>
        <w:ind w:left="0" w:firstLine="482"/>
        <w:rPr>
          <w:rFonts w:hAnsi="宋体" w:cs="Arial"/>
          <w:b/>
          <w:bCs/>
        </w:rPr>
      </w:pPr>
      <w:r>
        <w:rPr>
          <w:rFonts w:hint="eastAsia" w:hAnsi="宋体" w:cs="Arial"/>
          <w:b/>
          <w:bCs/>
        </w:rPr>
        <w:t>不间断电源</w:t>
      </w:r>
    </w:p>
    <w:p>
      <w:pPr>
        <w:pStyle w:val="135"/>
        <w:numPr>
          <w:ilvl w:val="0"/>
          <w:numId w:val="120"/>
        </w:numPr>
        <w:ind w:left="0" w:firstLine="420" w:firstLineChars="175"/>
        <w:rPr>
          <w:rFonts w:hAnsi="宋体" w:cs="Arial"/>
        </w:rPr>
      </w:pPr>
      <w:r>
        <w:rPr>
          <w:rFonts w:hint="eastAsia" w:hAnsi="宋体" w:cs="Arial"/>
        </w:rPr>
        <w:t>不间断电源系统UPS应每月进行1次例行维护，例行维护应包括但不限于《不间断电源UPS例行维护表》所列内容。</w:t>
      </w:r>
    </w:p>
    <w:p>
      <w:pPr>
        <w:pStyle w:val="11"/>
        <w:numPr>
          <w:ilvl w:val="8"/>
          <w:numId w:val="72"/>
        </w:numPr>
      </w:pPr>
      <w:bookmarkStart w:id="96" w:name="_Toc165045292"/>
      <w:r>
        <w:rPr>
          <w:rFonts w:hint="eastAsia"/>
        </w:rPr>
        <w:t>不间断电源UPS例行维护表</w:t>
      </w:r>
      <w:bookmarkEnd w:id="96"/>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面板指示</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检查记录UPS输入、输出电压、电流；电池电压、电流；负载率；UPS运行状态</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告警记录</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检查记录当前及历史事件记录、告警记录；清除UPS存储的过期告警和记录</w:t>
            </w:r>
          </w:p>
        </w:tc>
      </w:tr>
    </w:tbl>
    <w:p>
      <w:pPr>
        <w:pStyle w:val="135"/>
        <w:numPr>
          <w:ilvl w:val="0"/>
          <w:numId w:val="120"/>
        </w:numPr>
        <w:ind w:left="0" w:firstLine="420" w:firstLineChars="175"/>
        <w:rPr>
          <w:rFonts w:hAnsi="宋体" w:cs="Arial"/>
        </w:rPr>
      </w:pPr>
      <w:r>
        <w:rPr>
          <w:rFonts w:hint="eastAsia" w:hAnsi="宋体" w:cs="Arial"/>
        </w:rPr>
        <w:t>不间断电源系统UPS应定期进行预防性维护，每半年进行1次。预防性维护应包括但不限于《不间断电源UPS预防性维护表》所列内容。</w:t>
      </w:r>
    </w:p>
    <w:p>
      <w:pPr>
        <w:pStyle w:val="11"/>
        <w:numPr>
          <w:ilvl w:val="8"/>
          <w:numId w:val="72"/>
        </w:numPr>
      </w:pPr>
      <w:bookmarkStart w:id="97" w:name="_Toc165045293"/>
      <w:r>
        <w:rPr>
          <w:rFonts w:hint="eastAsia"/>
        </w:rPr>
        <w:t>不间断电源UPS预防性维护表</w:t>
      </w:r>
      <w:bookmarkEnd w:id="97"/>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带载情况下拆开盖板测量输入、输出、电池开关、铜排端子，输入、输出交流电容、直流母线电流、功率器件、电感、变压器等的温度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输入谐波电流测试</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用电能质量分析仪测试输入电流谐波</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设备清洁</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断电情况下UPS内部、UPS风扇、滤网、散热风口除尘</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电容电缆外观检查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内部电缆无开裂焦黄，电容无漏液、鼓胀</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仪表校准</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实测电压、电流与面板显示电压、电流进行对比</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5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切换功能（该项维护存在业务中断风险，应进行评估）</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市电逆变转电池逆变切换；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市电逆变转自动（静态）旁路切换；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自动旁路转手动旁路（维修）旁路切换；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85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维修旁路转外置维修旁路切换</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历史记录</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对UPS历史记录分析，确认UPS无异常或故障记录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电容更换（建议5年更换，或依据产品说明书使用年限更换）</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更换滤波电解电容前应释放电容能量；更换后应先对UPS进行测试，确认状态正常后再并入系统</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电气连接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检查各部件引线与端子的接触情况，查看接头处有无氧化、松动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“零-地”电压</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测量UPS输出端“零-地”电压，并与前一次测量结果进行比较</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电池开关</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检查电池开关外观及各连接端子情况</w:t>
            </w:r>
          </w:p>
        </w:tc>
      </w:tr>
    </w:tbl>
    <w:p>
      <w:pPr>
        <w:pStyle w:val="135"/>
        <w:numPr>
          <w:ilvl w:val="0"/>
          <w:numId w:val="120"/>
        </w:numPr>
        <w:ind w:left="0" w:firstLine="420" w:firstLineChars="175"/>
        <w:rPr>
          <w:rFonts w:hAnsi="宋体" w:cs="Arial"/>
        </w:rPr>
      </w:pPr>
      <w:r>
        <w:rPr>
          <w:rFonts w:hint="eastAsia" w:hAnsi="宋体" w:cs="Arial"/>
        </w:rPr>
        <w:t>数据中心应每年进行“一路UPS系统输出中断”应急演练。</w:t>
      </w:r>
    </w:p>
    <w:p>
      <w:pPr>
        <w:pStyle w:val="135"/>
        <w:numPr>
          <w:ilvl w:val="0"/>
          <w:numId w:val="120"/>
        </w:numPr>
        <w:ind w:left="0" w:firstLine="420" w:firstLineChars="175"/>
        <w:rPr>
          <w:rFonts w:hAnsi="宋体" w:cs="Arial"/>
        </w:rPr>
      </w:pPr>
      <w:r>
        <w:rPr>
          <w:rFonts w:hint="eastAsia" w:hAnsi="宋体" w:cs="Arial"/>
        </w:rPr>
        <w:t>UPS电池应每月进行1次例行维护，例行维护应包括但不限于《电池例行维护表》所列内容。</w:t>
      </w:r>
    </w:p>
    <w:p>
      <w:pPr>
        <w:pStyle w:val="11"/>
        <w:numPr>
          <w:ilvl w:val="8"/>
          <w:numId w:val="72"/>
        </w:numPr>
      </w:pPr>
      <w:bookmarkStart w:id="98" w:name="_Toc165045294"/>
      <w:r>
        <w:rPr>
          <w:rFonts w:hint="eastAsia"/>
        </w:rPr>
        <w:t>电池例行维护表</w:t>
      </w:r>
      <w:bookmarkEnd w:id="98"/>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电池外观</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检查电池是否漏液、遗酸、鼓包变形，极柱和连接条有无腐蚀情况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单体和电池组电压</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确认面板显示电压与仪表实测值相差不大</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电池清洁</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清理电池表面的灰尘</w:t>
            </w:r>
          </w:p>
        </w:tc>
      </w:tr>
    </w:tbl>
    <w:p>
      <w:pPr>
        <w:pStyle w:val="135"/>
        <w:numPr>
          <w:ilvl w:val="0"/>
          <w:numId w:val="120"/>
        </w:numPr>
        <w:ind w:left="0" w:firstLine="420" w:firstLineChars="175"/>
        <w:rPr>
          <w:rFonts w:hAnsi="宋体" w:cs="Arial"/>
        </w:rPr>
      </w:pPr>
      <w:r>
        <w:rPr>
          <w:rFonts w:hint="eastAsia" w:hAnsi="宋体" w:cs="Arial"/>
        </w:rPr>
        <w:t>UPS电池容量应每3年进行1次测试。</w:t>
      </w:r>
    </w:p>
    <w:p>
      <w:pPr>
        <w:pStyle w:val="135"/>
        <w:numPr>
          <w:ilvl w:val="0"/>
          <w:numId w:val="120"/>
        </w:numPr>
        <w:ind w:left="0" w:firstLine="420" w:firstLineChars="175"/>
        <w:rPr>
          <w:rFonts w:hAnsi="宋体" w:cs="Arial"/>
        </w:rPr>
      </w:pPr>
      <w:r>
        <w:rPr>
          <w:rFonts w:hint="eastAsia" w:hAnsi="宋体" w:cs="Arial"/>
        </w:rPr>
        <w:t>UPS电池应每年进行1次预防性维护，预防性维护应包括但不限于《电池预防性维护表》所列内容。</w:t>
      </w:r>
    </w:p>
    <w:p>
      <w:pPr>
        <w:pStyle w:val="11"/>
        <w:numPr>
          <w:ilvl w:val="8"/>
          <w:numId w:val="72"/>
        </w:numPr>
      </w:pPr>
      <w:bookmarkStart w:id="99" w:name="_Toc165045295"/>
      <w:r>
        <w:rPr>
          <w:rFonts w:hint="eastAsia"/>
        </w:rPr>
        <w:t>电池预防性维护表</w:t>
      </w:r>
      <w:bookmarkEnd w:id="99"/>
    </w:p>
    <w:tbl>
      <w:tblPr>
        <w:tblStyle w:val="75"/>
        <w:tblW w:w="9049" w:type="dxa"/>
        <w:tblInd w:w="0" w:type="dxa"/>
        <w:tblLayout w:type="autofit"/>
        <w:tblCellMar>
          <w:top w:w="0" w:type="dxa"/>
          <w:left w:w="108" w:type="dxa"/>
          <w:bottom w:w="0" w:type="dxa"/>
          <w:right w:w="108" w:type="dxa"/>
        </w:tblCellMar>
      </w:tblPr>
      <w:tblGrid>
        <w:gridCol w:w="820"/>
        <w:gridCol w:w="1851"/>
        <w:gridCol w:w="637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85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637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压降</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测量蓄电池到负载端的全程压降，240V系统不应大于12V，-48V系统不应大于3.2V</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纹波电压测试</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用万用表交流电压档测量纹波电压，浮充状态下整组、正负半组交流纹波电压测试，要求纹波电压小于1%直流电压</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核对性放电</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进行电池放电测试，放出额定容量的30%~40%，电池性能正常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电气连接</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查看各接头处有无氧化、接触不好和松动现象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压降</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测试电池连接条压降，蓄电池单体连接条放电时压降不应大于10mV</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5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w:t>
            </w:r>
          </w:p>
        </w:tc>
        <w:tc>
          <w:tcPr>
            <w:tcW w:w="637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测量极柱及连接端子充放电时的温升，应小于50℃</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85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电池开关</w:t>
            </w:r>
          </w:p>
        </w:tc>
        <w:tc>
          <w:tcPr>
            <w:tcW w:w="637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检查断路器、熔断器、电气连接等处的温升</w:t>
            </w:r>
          </w:p>
        </w:tc>
      </w:tr>
    </w:tbl>
    <w:p>
      <w:pPr>
        <w:pStyle w:val="135"/>
        <w:numPr>
          <w:ilvl w:val="2"/>
          <w:numId w:val="116"/>
        </w:numPr>
        <w:spacing w:before="120"/>
        <w:ind w:left="0" w:firstLine="482"/>
        <w:rPr>
          <w:rFonts w:hAnsi="宋体" w:cs="Arial"/>
          <w:b/>
          <w:bCs/>
        </w:rPr>
      </w:pPr>
      <w:r>
        <w:rPr>
          <w:rFonts w:hint="eastAsia" w:hAnsi="宋体" w:cs="Arial"/>
          <w:b/>
          <w:bCs/>
        </w:rPr>
        <w:t>防雷接地</w:t>
      </w:r>
    </w:p>
    <w:p>
      <w:pPr>
        <w:pStyle w:val="135"/>
        <w:numPr>
          <w:ilvl w:val="0"/>
          <w:numId w:val="121"/>
        </w:numPr>
        <w:ind w:left="0" w:firstLine="420" w:firstLineChars="175"/>
        <w:rPr>
          <w:rFonts w:hAnsi="宋体" w:cs="Arial"/>
        </w:rPr>
      </w:pPr>
      <w:r>
        <w:rPr>
          <w:rFonts w:hint="eastAsia" w:hAnsi="宋体" w:cs="Arial"/>
        </w:rPr>
        <w:t>在对防雷接地设施进行维护时，应遵循以下基本原则：</w:t>
      </w:r>
    </w:p>
    <w:p>
      <w:pPr>
        <w:pStyle w:val="135"/>
        <w:numPr>
          <w:ilvl w:val="0"/>
          <w:numId w:val="122"/>
        </w:numPr>
        <w:ind w:left="960" w:leftChars="250" w:hanging="360" w:hangingChars="150"/>
        <w:rPr>
          <w:rFonts w:hAnsi="宋体" w:cs="Arial"/>
        </w:rPr>
      </w:pPr>
      <w:r>
        <w:rPr>
          <w:rFonts w:hint="eastAsia" w:hAnsi="宋体" w:cs="Arial"/>
        </w:rPr>
        <w:t>例行维护前，应对防雷接地设施运行情况进行详细检查，确保各设施运行正常。</w:t>
      </w:r>
    </w:p>
    <w:p>
      <w:pPr>
        <w:pStyle w:val="135"/>
        <w:numPr>
          <w:ilvl w:val="0"/>
          <w:numId w:val="122"/>
        </w:numPr>
        <w:ind w:left="960" w:leftChars="250" w:hanging="360" w:hangingChars="150"/>
        <w:rPr>
          <w:rFonts w:hAnsi="宋体" w:cs="Arial"/>
        </w:rPr>
      </w:pPr>
      <w:r>
        <w:rPr>
          <w:rFonts w:hint="eastAsia" w:hAnsi="宋体" w:cs="Arial"/>
        </w:rPr>
        <w:t>应根据维护内容、系统运行状态、天气等情况，制定详细的维护方案，并提前进行演练。</w:t>
      </w:r>
    </w:p>
    <w:p>
      <w:pPr>
        <w:pStyle w:val="135"/>
        <w:numPr>
          <w:ilvl w:val="0"/>
          <w:numId w:val="122"/>
        </w:numPr>
        <w:ind w:left="960" w:leftChars="250" w:hanging="360" w:hangingChars="150"/>
        <w:rPr>
          <w:rFonts w:hAnsi="宋体" w:cs="Arial"/>
        </w:rPr>
      </w:pPr>
      <w:r>
        <w:rPr>
          <w:rFonts w:hint="eastAsia" w:hAnsi="宋体" w:cs="Arial"/>
        </w:rPr>
        <w:t>如在例行维护过程中遇到突发紧急情况，应立即终止维护过程，并按照相关应急预案采取相应处理措施。</w:t>
      </w:r>
    </w:p>
    <w:p>
      <w:pPr>
        <w:pStyle w:val="135"/>
        <w:numPr>
          <w:ilvl w:val="0"/>
          <w:numId w:val="121"/>
        </w:numPr>
        <w:ind w:left="0" w:firstLine="420" w:firstLineChars="175"/>
        <w:rPr>
          <w:rFonts w:hAnsi="宋体" w:cs="Arial"/>
        </w:rPr>
      </w:pPr>
      <w:r>
        <w:rPr>
          <w:rFonts w:hint="eastAsia" w:hAnsi="宋体" w:cs="Arial"/>
        </w:rPr>
        <w:t>每年应对浪涌保护器输入开关功能进行测试，应手动对所有浪涌保护器的输入开关进行分断试验，确保所有开关能够正常动作。</w:t>
      </w:r>
    </w:p>
    <w:p>
      <w:pPr>
        <w:pStyle w:val="135"/>
        <w:numPr>
          <w:ilvl w:val="0"/>
          <w:numId w:val="121"/>
        </w:numPr>
        <w:ind w:left="0" w:firstLine="420" w:firstLineChars="175"/>
        <w:rPr>
          <w:rFonts w:hAnsi="宋体" w:cs="Arial"/>
        </w:rPr>
      </w:pPr>
      <w:r>
        <w:rPr>
          <w:rFonts w:hint="eastAsia" w:hAnsi="宋体" w:cs="Arial"/>
        </w:rPr>
        <w:t>每年应对防雷接地设施中端子、电缆、接地线端接情况进行检测，应通过人工方式对所有防雷接地设施中的所有端子、电缆和接地线的端接情况进行测试，对松动的端子重新紧固，确保所有线缆可靠连接。</w:t>
      </w:r>
    </w:p>
    <w:p>
      <w:pPr>
        <w:pStyle w:val="135"/>
        <w:numPr>
          <w:ilvl w:val="0"/>
          <w:numId w:val="121"/>
        </w:numPr>
        <w:ind w:left="0" w:firstLine="420" w:firstLineChars="175"/>
        <w:rPr>
          <w:rFonts w:hAnsi="宋体" w:cs="Arial"/>
        </w:rPr>
      </w:pPr>
      <w:r>
        <w:rPr>
          <w:rFonts w:hint="eastAsia" w:hAnsi="宋体" w:cs="Arial"/>
        </w:rPr>
        <w:t>每年应对避雷针、避雷带、避雷网进行防锈、除锈维护。</w:t>
      </w:r>
    </w:p>
    <w:p>
      <w:pPr>
        <w:pStyle w:val="135"/>
        <w:numPr>
          <w:ilvl w:val="2"/>
          <w:numId w:val="116"/>
        </w:numPr>
        <w:spacing w:before="120"/>
        <w:ind w:left="0" w:firstLine="482"/>
        <w:rPr>
          <w:rFonts w:hAnsi="宋体" w:cs="Arial"/>
          <w:b/>
          <w:bCs/>
        </w:rPr>
      </w:pPr>
      <w:r>
        <w:rPr>
          <w:rFonts w:hint="eastAsia" w:hAnsi="宋体" w:cs="Arial"/>
          <w:b/>
          <w:bCs/>
        </w:rPr>
        <w:t>电缆和母线槽</w:t>
      </w:r>
    </w:p>
    <w:p>
      <w:pPr>
        <w:pStyle w:val="135"/>
        <w:numPr>
          <w:ilvl w:val="0"/>
          <w:numId w:val="123"/>
        </w:numPr>
        <w:ind w:left="0" w:firstLine="420" w:firstLineChars="175"/>
        <w:rPr>
          <w:rFonts w:hAnsi="宋体" w:cs="Arial"/>
        </w:rPr>
      </w:pPr>
      <w:r>
        <w:rPr>
          <w:rFonts w:hint="eastAsia" w:hAnsi="宋体" w:cs="Arial"/>
        </w:rPr>
        <w:t>高压电缆应与高压设备一起做维护。</w:t>
      </w:r>
    </w:p>
    <w:p>
      <w:pPr>
        <w:pStyle w:val="135"/>
        <w:numPr>
          <w:ilvl w:val="0"/>
          <w:numId w:val="123"/>
        </w:numPr>
        <w:ind w:left="0" w:firstLine="420" w:firstLineChars="175"/>
        <w:rPr>
          <w:rFonts w:hAnsi="宋体" w:cs="Arial"/>
        </w:rPr>
      </w:pPr>
      <w:r>
        <w:rPr>
          <w:rFonts w:hint="eastAsia" w:hAnsi="宋体" w:cs="Arial"/>
        </w:rPr>
        <w:t>电缆和母线槽应每月进行1次例行维护，例行维护应包括但不限于《高压电缆与母线槽例行维护表》所列内容。</w:t>
      </w:r>
    </w:p>
    <w:p>
      <w:pPr>
        <w:pStyle w:val="11"/>
        <w:numPr>
          <w:ilvl w:val="8"/>
          <w:numId w:val="72"/>
        </w:numPr>
      </w:pPr>
      <w:bookmarkStart w:id="100" w:name="_Toc165045296"/>
      <w:r>
        <w:rPr>
          <w:rFonts w:hint="eastAsia"/>
        </w:rPr>
        <w:t>高压电缆与母线槽例行维护表</w:t>
      </w:r>
      <w:bookmarkEnd w:id="100"/>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温升检查</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检查电缆、母线槽各电气连接处的温升。接触处无被覆层或搪锡时应不大于50°C，镀银或镀镍时应不大于60°C;可能触及的金属表面应不大于30°C，绝缘表面应不大于20°C；与前次测试结果比较应无明显变化</w:t>
            </w:r>
          </w:p>
        </w:tc>
      </w:tr>
    </w:tbl>
    <w:p>
      <w:pPr>
        <w:pStyle w:val="135"/>
        <w:numPr>
          <w:ilvl w:val="0"/>
          <w:numId w:val="123"/>
        </w:numPr>
        <w:ind w:left="0" w:firstLine="420" w:firstLineChars="175"/>
        <w:rPr>
          <w:rFonts w:hAnsi="宋体" w:cs="Arial"/>
        </w:rPr>
      </w:pPr>
      <w:r>
        <w:rPr>
          <w:rFonts w:hint="eastAsia" w:hAnsi="宋体" w:cs="Arial"/>
        </w:rPr>
        <w:t>电缆和母线槽应每年进行1次预防性维护，预防性维护应包括但不限于《高压电缆与母线槽预防性维护表》所列内容。</w:t>
      </w:r>
    </w:p>
    <w:p>
      <w:pPr>
        <w:pStyle w:val="11"/>
        <w:numPr>
          <w:ilvl w:val="8"/>
          <w:numId w:val="72"/>
        </w:numPr>
      </w:pPr>
      <w:bookmarkStart w:id="101" w:name="_Toc165045297"/>
      <w:r>
        <w:rPr>
          <w:rFonts w:hint="eastAsia"/>
        </w:rPr>
        <w:t>高压电缆与母线槽预防性维护表</w:t>
      </w:r>
      <w:bookmarkEnd w:id="101"/>
    </w:p>
    <w:tbl>
      <w:tblPr>
        <w:tblStyle w:val="75"/>
        <w:tblW w:w="9050" w:type="dxa"/>
        <w:jc w:val="center"/>
        <w:tblLayout w:type="autofit"/>
        <w:tblCellMar>
          <w:top w:w="0" w:type="dxa"/>
          <w:left w:w="108" w:type="dxa"/>
          <w:bottom w:w="0" w:type="dxa"/>
          <w:right w:w="108" w:type="dxa"/>
        </w:tblCellMar>
      </w:tblPr>
      <w:tblGrid>
        <w:gridCol w:w="820"/>
        <w:gridCol w:w="2985"/>
        <w:gridCol w:w="5245"/>
      </w:tblGrid>
      <w:tr>
        <w:tblPrEx>
          <w:tblCellMar>
            <w:top w:w="0" w:type="dxa"/>
            <w:left w:w="108" w:type="dxa"/>
            <w:bottom w:w="0" w:type="dxa"/>
            <w:right w:w="108" w:type="dxa"/>
          </w:tblCellMar>
        </w:tblPrEx>
        <w:trPr>
          <w:tblHeader/>
          <w:jc w:val="cent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985"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245"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rPr>
          <w:jc w:val="center"/>
        </w:trPr>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985"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电气连接</w:t>
            </w:r>
          </w:p>
        </w:tc>
        <w:tc>
          <w:tcPr>
            <w:tcW w:w="5245"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检查各接头处有无氧化、接触不好、松动现象</w:t>
            </w:r>
          </w:p>
        </w:tc>
      </w:tr>
      <w:tr>
        <w:tblPrEx>
          <w:tblCellMar>
            <w:top w:w="0" w:type="dxa"/>
            <w:left w:w="108" w:type="dxa"/>
            <w:bottom w:w="0" w:type="dxa"/>
            <w:right w:w="108" w:type="dxa"/>
          </w:tblCellMar>
        </w:tblPrEx>
        <w:trPr>
          <w:jc w:val="center"/>
        </w:trPr>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985"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标签标识</w:t>
            </w:r>
          </w:p>
        </w:tc>
        <w:tc>
          <w:tcPr>
            <w:tcW w:w="5245"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标签标识应准确、无脱落</w:t>
            </w:r>
          </w:p>
        </w:tc>
      </w:tr>
    </w:tbl>
    <w:p>
      <w:pPr>
        <w:pStyle w:val="7"/>
        <w:numPr>
          <w:ilvl w:val="4"/>
          <w:numId w:val="72"/>
        </w:numPr>
      </w:pPr>
      <w:r>
        <w:rPr>
          <w:rFonts w:hint="eastAsia"/>
        </w:rPr>
        <w:t>通风空调系统预防性维护</w:t>
      </w:r>
    </w:p>
    <w:p>
      <w:pPr>
        <w:pStyle w:val="8"/>
        <w:numPr>
          <w:ilvl w:val="5"/>
          <w:numId w:val="72"/>
        </w:numPr>
      </w:pPr>
      <w:r>
        <w:rPr>
          <w:rFonts w:hint="eastAsia"/>
        </w:rPr>
        <w:t>工作要求及目标</w:t>
      </w:r>
    </w:p>
    <w:p>
      <w:pPr>
        <w:pStyle w:val="135"/>
        <w:numPr>
          <w:ilvl w:val="0"/>
          <w:numId w:val="124"/>
        </w:numPr>
        <w:ind w:left="0" w:firstLine="420" w:firstLineChars="175"/>
        <w:rPr>
          <w:rFonts w:hAnsi="宋体" w:cs="Arial"/>
        </w:rPr>
      </w:pPr>
      <w:r>
        <w:rPr>
          <w:rFonts w:hint="eastAsia" w:hAnsi="宋体" w:cs="Arial"/>
        </w:rPr>
        <w:t>保修期满的机房空调设备应提前考虑购买维护保养服务。</w:t>
      </w:r>
    </w:p>
    <w:p>
      <w:pPr>
        <w:pStyle w:val="135"/>
        <w:numPr>
          <w:ilvl w:val="0"/>
          <w:numId w:val="124"/>
        </w:numPr>
        <w:ind w:left="0" w:firstLine="420" w:firstLineChars="175"/>
        <w:rPr>
          <w:rFonts w:hAnsi="宋体" w:cs="Arial"/>
        </w:rPr>
      </w:pPr>
      <w:r>
        <w:rPr>
          <w:rFonts w:hint="eastAsia" w:hAnsi="宋体" w:cs="Arial"/>
        </w:rPr>
        <w:t>机房空调室外机周围应保持整洁，无杂物堆放，确保维修、应急通畅。</w:t>
      </w:r>
    </w:p>
    <w:p>
      <w:pPr>
        <w:pStyle w:val="135"/>
        <w:numPr>
          <w:ilvl w:val="0"/>
          <w:numId w:val="124"/>
        </w:numPr>
        <w:ind w:left="0" w:firstLine="420" w:firstLineChars="175"/>
        <w:rPr>
          <w:rFonts w:hAnsi="宋体" w:cs="Arial"/>
        </w:rPr>
      </w:pPr>
      <w:r>
        <w:rPr>
          <w:rFonts w:hint="eastAsia" w:hAnsi="宋体" w:cs="Arial"/>
        </w:rPr>
        <w:t>机房空调维护管理人员应定期对机房空调的运行情况进行总体评估，对接近阈值的参数要提前进行分析评估和预警，并及时提出性能容量优化的相关建议，合理制定更新置换方案。</w:t>
      </w:r>
    </w:p>
    <w:p>
      <w:pPr>
        <w:pStyle w:val="135"/>
        <w:numPr>
          <w:ilvl w:val="0"/>
          <w:numId w:val="124"/>
        </w:numPr>
        <w:ind w:left="0" w:firstLine="420" w:firstLineChars="175"/>
        <w:rPr>
          <w:rFonts w:hAnsi="宋体" w:cs="Arial"/>
        </w:rPr>
      </w:pPr>
      <w:r>
        <w:rPr>
          <w:rFonts w:hint="eastAsia" w:hAnsi="宋体" w:cs="Arial"/>
        </w:rPr>
        <w:t>空调维护人员除排除日常空调系统设备设施的故障报警外，按照短、长周期进行安排例行维护与预防性维护工作。</w:t>
      </w:r>
    </w:p>
    <w:p>
      <w:pPr>
        <w:pStyle w:val="135"/>
        <w:numPr>
          <w:ilvl w:val="0"/>
          <w:numId w:val="124"/>
        </w:numPr>
        <w:ind w:left="0" w:firstLine="420" w:firstLineChars="175"/>
        <w:rPr>
          <w:rFonts w:hAnsi="宋体" w:cs="Arial"/>
        </w:rPr>
      </w:pPr>
      <w:r>
        <w:rPr>
          <w:rFonts w:hint="eastAsia" w:hAnsi="宋体" w:cs="Arial"/>
        </w:rPr>
        <w:t>空调维护管理人员须对不同种类的机房空调建立故障应急处理预案，明确故障时的应急处理流程。空调应急场景应包括但不限于《空调应急场景》所列内容：</w:t>
      </w:r>
    </w:p>
    <w:p>
      <w:pPr>
        <w:pStyle w:val="11"/>
        <w:numPr>
          <w:ilvl w:val="8"/>
          <w:numId w:val="72"/>
        </w:numPr>
      </w:pPr>
      <w:bookmarkStart w:id="102" w:name="_Toc165045298"/>
      <w:r>
        <w:rPr>
          <w:rFonts w:hint="eastAsia"/>
        </w:rPr>
        <w:t>空调应急场景</w:t>
      </w:r>
      <w:bookmarkEnd w:id="102"/>
    </w:p>
    <w:tbl>
      <w:tblPr>
        <w:tblStyle w:val="75"/>
        <w:tblW w:w="9049" w:type="dxa"/>
        <w:tblInd w:w="0" w:type="dxa"/>
        <w:tblLayout w:type="autofit"/>
        <w:tblCellMar>
          <w:top w:w="0" w:type="dxa"/>
          <w:left w:w="108" w:type="dxa"/>
          <w:bottom w:w="0" w:type="dxa"/>
          <w:right w:w="108" w:type="dxa"/>
        </w:tblCellMar>
      </w:tblPr>
      <w:tblGrid>
        <w:gridCol w:w="828"/>
        <w:gridCol w:w="8221"/>
      </w:tblGrid>
      <w:tr>
        <w:tblPrEx>
          <w:tblCellMar>
            <w:top w:w="0" w:type="dxa"/>
            <w:left w:w="108" w:type="dxa"/>
            <w:bottom w:w="0" w:type="dxa"/>
            <w:right w:w="108" w:type="dxa"/>
          </w:tblCellMar>
        </w:tblPrEx>
        <w:tc>
          <w:tcPr>
            <w:tcW w:w="828"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822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应急场景</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822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区域内部分空调设备突发故障停机</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822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机房发生严重漏水</w:t>
            </w:r>
          </w:p>
        </w:tc>
      </w:tr>
      <w:tr>
        <w:tblPrEx>
          <w:tblCellMar>
            <w:top w:w="0" w:type="dxa"/>
            <w:left w:w="108" w:type="dxa"/>
            <w:bottom w:w="0" w:type="dxa"/>
            <w:right w:w="108" w:type="dxa"/>
          </w:tblCellMar>
        </w:tblPrEx>
        <w:tc>
          <w:tcPr>
            <w:tcW w:w="828"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822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部分机房空调供电中断</w:t>
            </w:r>
          </w:p>
        </w:tc>
      </w:tr>
      <w:tr>
        <w:tblPrEx>
          <w:tblCellMar>
            <w:top w:w="0" w:type="dxa"/>
            <w:left w:w="108" w:type="dxa"/>
            <w:bottom w:w="0" w:type="dxa"/>
            <w:right w:w="108" w:type="dxa"/>
          </w:tblCellMar>
        </w:tblPrEx>
        <w:tc>
          <w:tcPr>
            <w:tcW w:w="828"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822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部分区域环境参数不满足或不稳定</w:t>
            </w:r>
          </w:p>
        </w:tc>
      </w:tr>
    </w:tbl>
    <w:p>
      <w:pPr>
        <w:pStyle w:val="8"/>
        <w:numPr>
          <w:ilvl w:val="5"/>
          <w:numId w:val="72"/>
        </w:numPr>
      </w:pPr>
      <w:r>
        <w:rPr>
          <w:rFonts w:hint="eastAsia"/>
        </w:rPr>
        <w:t>详细内容及要求</w:t>
      </w:r>
    </w:p>
    <w:p>
      <w:pPr>
        <w:pStyle w:val="135"/>
        <w:numPr>
          <w:ilvl w:val="2"/>
          <w:numId w:val="125"/>
        </w:numPr>
        <w:spacing w:before="120"/>
        <w:ind w:left="0" w:firstLine="482"/>
        <w:rPr>
          <w:rFonts w:hAnsi="宋体" w:cs="Arial"/>
          <w:b/>
          <w:bCs/>
        </w:rPr>
      </w:pPr>
      <w:r>
        <w:rPr>
          <w:rFonts w:hint="eastAsia" w:hAnsi="宋体" w:cs="Arial"/>
          <w:b/>
          <w:bCs/>
        </w:rPr>
        <w:t>制冷主机</w:t>
      </w:r>
    </w:p>
    <w:p>
      <w:pPr>
        <w:ind w:firstLine="480" w:firstLineChars="200"/>
        <w:rPr>
          <w:rFonts w:hAnsi="宋体" w:cs="Arial"/>
        </w:rPr>
      </w:pPr>
      <w:r>
        <w:rPr>
          <w:rFonts w:hint="eastAsia" w:hAnsi="宋体" w:cs="Arial"/>
        </w:rPr>
        <w:t>制冷主机应按周/月和季/年进行例行维护和预防性维护，维护应包括但不限于《制冷主机周/月例行维护表》、《制冷主机季/年预防性维护表》所列内容。</w:t>
      </w:r>
    </w:p>
    <w:p>
      <w:pPr>
        <w:pStyle w:val="11"/>
        <w:numPr>
          <w:ilvl w:val="8"/>
          <w:numId w:val="72"/>
        </w:numPr>
      </w:pPr>
      <w:bookmarkStart w:id="103" w:name="_Toc165045299"/>
      <w:r>
        <w:rPr>
          <w:rFonts w:hint="eastAsia"/>
        </w:rPr>
        <w:t>制冷主机周/月例行维护表</w:t>
      </w:r>
      <w:bookmarkEnd w:id="103"/>
    </w:p>
    <w:tbl>
      <w:tblPr>
        <w:tblStyle w:val="75"/>
        <w:tblW w:w="9049" w:type="dxa"/>
        <w:tblInd w:w="0" w:type="dxa"/>
        <w:tblLayout w:type="autofit"/>
        <w:tblCellMar>
          <w:top w:w="0" w:type="dxa"/>
          <w:left w:w="108" w:type="dxa"/>
          <w:bottom w:w="0" w:type="dxa"/>
          <w:right w:w="108" w:type="dxa"/>
        </w:tblCellMar>
      </w:tblPr>
      <w:tblGrid>
        <w:gridCol w:w="820"/>
        <w:gridCol w:w="2701"/>
        <w:gridCol w:w="552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70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52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机组外观</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表面清灰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运行电流</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测量机组运行电流</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电器控制元件</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检查所有电器控制元件有无明显故障；</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压缩机润滑油油位</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运行时油位应在上油视镜和下油视镜之间，根据检查实际情况决定是否加注润滑油</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70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蒸发器、冷凝器</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蒸发器、冷凝器清洗，做好排污换水工作；</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风冷冷凝器散热风机叶片有无变形；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清洁冷凝器翅片</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检查一次机组蒸发器、冷凝器进水过滤器，根据需要清洗过滤器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待机机组</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定期运行润滑油泵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外部各接口及连接件</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检查机组外部各接口及连接件的泄漏状况，如有需要采取堵漏密封措施</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701"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制冷主机的保护装置</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压缩机安全保护装置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排气压力的高压保护和吸气压力的低压保护装置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润滑系统的油压差保护装置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电动机过载及缺项保护装置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离心式压缩机轴承高温保护装置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卧式壳管式蒸发器冷冻水防冻保护装置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冷凝器冷却水断水保护装置</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701"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52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蒸发器冷凝器通风机的事故保护装置</w:t>
            </w:r>
          </w:p>
        </w:tc>
      </w:tr>
    </w:tbl>
    <w:p>
      <w:pPr>
        <w:pStyle w:val="11"/>
        <w:numPr>
          <w:ilvl w:val="8"/>
          <w:numId w:val="72"/>
        </w:numPr>
      </w:pPr>
      <w:bookmarkStart w:id="104" w:name="_Toc165045300"/>
      <w:r>
        <w:rPr>
          <w:rFonts w:hint="eastAsia"/>
        </w:rPr>
        <w:t>制冷主机季/年预防性维护表</w:t>
      </w:r>
      <w:bookmarkEnd w:id="104"/>
    </w:p>
    <w:tbl>
      <w:tblPr>
        <w:tblStyle w:val="75"/>
        <w:tblW w:w="9049" w:type="dxa"/>
        <w:tblInd w:w="0" w:type="dxa"/>
        <w:tblLayout w:type="autofit"/>
        <w:tblCellMar>
          <w:top w:w="0" w:type="dxa"/>
          <w:left w:w="108" w:type="dxa"/>
          <w:bottom w:w="0" w:type="dxa"/>
          <w:right w:w="108" w:type="dxa"/>
        </w:tblCellMar>
      </w:tblPr>
      <w:tblGrid>
        <w:gridCol w:w="820"/>
        <w:gridCol w:w="2701"/>
        <w:gridCol w:w="5528"/>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701"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528"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水冷机组冷凝器、蒸发器清洗</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检查铜管结垢程度，视情况进行清洗，冷凝器一般一年清洗一次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蒸发器防冻</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冬季为防止蒸发器冻结，应在冷冻水内加入一定比例的乙醇和丙醇混合物来防冻</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制冷剂系统</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制冷剂系统严密性，机组本体各传感器插入孔、连接处、阀门处有无制冷剂泄漏或润滑油泄漏现象检查制冷剂液位是否正常；制冷剂保有量是否充足，测量系统运行高、低压压力，并根据运行情况进行制冷剂的充放。检查制冷剂泄漏报警装置是否运行可靠，与报警装置联锁的通风系统运转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润滑油系统</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压缩机机油建议在机组首次开启的500小时后更换，视情况进行更换，并更换油过滤器和干燥过滤器；检查油泵、密封和油泵电机及油系统其他部件，如油冷却器、过滤器和电磁阀等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屏幕时间</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校准屏幕时间参数</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压缩机电机绝缘</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对压缩机电机进行绝缘测试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安全阀压力表温度计液压计</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按照相关安全规范进行校验</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701"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传感器</w:t>
            </w:r>
          </w:p>
        </w:tc>
        <w:tc>
          <w:tcPr>
            <w:tcW w:w="5528"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准和更换：用测量仪器仪表检测蒸发器出水温度、压缩机排气温度，根据测量的电阻值和电压值对应温度探头检测表，检测值偏差超过华氏4度应更换；检查的仪器仪表应经过校准检验并在有效期内；检查各接点是否牢固，探头插接处是否密封良好</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701"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隔振装置</w:t>
            </w:r>
          </w:p>
        </w:tc>
        <w:tc>
          <w:tcPr>
            <w:tcW w:w="5528"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隔振装置是否可靠</w:t>
            </w:r>
          </w:p>
        </w:tc>
      </w:tr>
    </w:tbl>
    <w:p>
      <w:pPr>
        <w:pStyle w:val="135"/>
        <w:numPr>
          <w:ilvl w:val="2"/>
          <w:numId w:val="125"/>
        </w:numPr>
        <w:spacing w:before="120"/>
        <w:ind w:left="0" w:firstLine="482"/>
        <w:rPr>
          <w:rFonts w:hAnsi="宋体" w:cs="Arial"/>
          <w:b/>
          <w:bCs/>
        </w:rPr>
      </w:pPr>
      <w:r>
        <w:rPr>
          <w:rFonts w:hint="eastAsia" w:hAnsi="宋体" w:cs="Arial"/>
          <w:b/>
          <w:bCs/>
        </w:rPr>
        <w:t>冷却塔。</w:t>
      </w:r>
    </w:p>
    <w:p>
      <w:pPr>
        <w:ind w:firstLine="480" w:firstLineChars="200"/>
        <w:rPr>
          <w:rFonts w:hAnsi="宋体" w:cs="Arial"/>
        </w:rPr>
      </w:pPr>
      <w:r>
        <w:rPr>
          <w:rFonts w:hint="eastAsia" w:hAnsi="宋体" w:cs="Arial"/>
        </w:rPr>
        <w:t>冷却塔应按周/月和季/年进行例行维护和预防性维护，维护应包括但不限于《冷却塔周/月例行维护表》《冷却塔季/年预防性维护表》所列内容。</w:t>
      </w:r>
    </w:p>
    <w:p>
      <w:pPr>
        <w:pStyle w:val="11"/>
        <w:numPr>
          <w:ilvl w:val="8"/>
          <w:numId w:val="72"/>
        </w:numPr>
      </w:pPr>
      <w:bookmarkStart w:id="105" w:name="_Toc165045301"/>
      <w:r>
        <w:rPr>
          <w:rFonts w:hint="eastAsia"/>
        </w:rPr>
        <w:t>冷却塔周/月例行维护表</w:t>
      </w:r>
      <w:bookmarkEnd w:id="105"/>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水位</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是否正常，无溢水、缺水现象</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布水器喷嘴</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每月清洁一次，任何位置上堵塞的喷嘴应及时拆除更换</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进风格栅、集水盘、出水口滤网</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每月进行一次清洗</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集水盘</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检查有无腐蚀情况。检查手、自动补水阀是否正常、灵敏</w:t>
            </w:r>
          </w:p>
        </w:tc>
      </w:tr>
    </w:tbl>
    <w:p>
      <w:pPr>
        <w:pStyle w:val="11"/>
        <w:numPr>
          <w:ilvl w:val="8"/>
          <w:numId w:val="72"/>
        </w:numPr>
      </w:pPr>
      <w:bookmarkStart w:id="106" w:name="_Toc165045302"/>
      <w:r>
        <w:rPr>
          <w:rFonts w:hint="eastAsia"/>
        </w:rPr>
        <w:t>冷却塔季/年预防性维护表</w:t>
      </w:r>
      <w:bookmarkEnd w:id="106"/>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挡水层和填料</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每半年检查挡水层和填料的积垢情况、老化破损情况，清洗一次填料</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电伴热系统</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进入冬季前应检查电伴热系统、检查回路开关及三相对地绝缘电阻，应不低于1MΩ</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风机启动器、变频器</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检查风机启动器、变频器运行情况</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塔体</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检查塔体腐蚀情况，必要时进行防腐处理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559"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传感器</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准和更换：用测量仪器仪表检测冷却水进出塔温度、压力、流量、液位，检查测量值与系统显示值是否一致，误差应不大于±2.5%，否则应及时更换；检查的仪器仪表应经过校准检验并在有效期内；检查各接点是否牢固，探头插接处是否密封良好</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559"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紧急停机开关</w:t>
            </w: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检查紧急停机开关的可靠性</w:t>
            </w:r>
          </w:p>
        </w:tc>
      </w:tr>
    </w:tbl>
    <w:p>
      <w:pPr>
        <w:pStyle w:val="135"/>
        <w:numPr>
          <w:ilvl w:val="2"/>
          <w:numId w:val="125"/>
        </w:numPr>
        <w:spacing w:before="120"/>
        <w:ind w:left="0" w:firstLine="482"/>
        <w:rPr>
          <w:rFonts w:hAnsi="宋体" w:cs="Arial"/>
          <w:b/>
          <w:bCs/>
        </w:rPr>
      </w:pPr>
      <w:r>
        <w:rPr>
          <w:rFonts w:hint="eastAsia" w:hAnsi="宋体" w:cs="Arial"/>
          <w:b/>
          <w:bCs/>
        </w:rPr>
        <w:t>空调水系统</w:t>
      </w:r>
    </w:p>
    <w:p>
      <w:pPr>
        <w:ind w:firstLine="480" w:firstLineChars="200"/>
        <w:rPr>
          <w:rFonts w:hAnsi="宋体" w:cs="Arial"/>
        </w:rPr>
      </w:pPr>
      <w:r>
        <w:rPr>
          <w:rFonts w:hint="eastAsia" w:hAnsi="宋体" w:cs="Arial"/>
        </w:rPr>
        <w:t>空调水系统应按周/月和季/年进行例行维护和预防性维护，维护应包括但不限于《空调水系统周/月例行维护表》、《空调水系统季/年预防性维护表》所列内容。</w:t>
      </w:r>
    </w:p>
    <w:p>
      <w:pPr>
        <w:pStyle w:val="11"/>
        <w:numPr>
          <w:ilvl w:val="8"/>
          <w:numId w:val="72"/>
        </w:numPr>
      </w:pPr>
      <w:bookmarkStart w:id="107" w:name="_Toc165045303"/>
      <w:r>
        <w:rPr>
          <w:rFonts w:hint="eastAsia"/>
        </w:rPr>
        <w:t>空调水系统周/月例行维护表</w:t>
      </w:r>
      <w:bookmarkEnd w:id="107"/>
    </w:p>
    <w:tbl>
      <w:tblPr>
        <w:tblStyle w:val="75"/>
        <w:tblW w:w="9049" w:type="dxa"/>
        <w:tblInd w:w="0" w:type="dxa"/>
        <w:tblLayout w:type="autofit"/>
        <w:tblCellMar>
          <w:top w:w="0" w:type="dxa"/>
          <w:left w:w="108" w:type="dxa"/>
          <w:bottom w:w="0" w:type="dxa"/>
          <w:right w:w="108" w:type="dxa"/>
        </w:tblCellMar>
      </w:tblPr>
      <w:tblGrid>
        <w:gridCol w:w="820"/>
        <w:gridCol w:w="2559"/>
        <w:gridCol w:w="5670"/>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67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冷冻水/冷却水循环泵</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泵体及电机外部清洁，电机散热风扇清洁；</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检查循环泵进出口压力是否正常</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水箱</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每月检查供水浮球阀及水箱（罐）进出阀门能否正常启动、关闭，如有锈蚀、失灵应及时更换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每月检查一次过滤器，根据检查实际情况决定是否更换或清洗过滤器</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559"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水处理系统</w:t>
            </w: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对管线、过滤器、药桶进行检查清理；</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校验各检测数据，如电导率；</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根据水质情况，调整药剂添加量；</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进行手动排污；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559"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67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检查电动执行器运转是否正常，有无异响，执行器外壳温度是否正常。</w:t>
            </w:r>
          </w:p>
        </w:tc>
      </w:tr>
    </w:tbl>
    <w:p>
      <w:pPr>
        <w:pStyle w:val="11"/>
        <w:numPr>
          <w:ilvl w:val="8"/>
          <w:numId w:val="72"/>
        </w:numPr>
      </w:pPr>
      <w:bookmarkStart w:id="108" w:name="_Toc165045304"/>
      <w:r>
        <w:rPr>
          <w:rFonts w:hint="eastAsia"/>
        </w:rPr>
        <w:t>空调水系统季/年预防性维护表</w:t>
      </w:r>
      <w:bookmarkEnd w:id="108"/>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冷冻水/冷却水循环泵</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检查并清洁泵前Y型过滤器，清洗叶轮、泵腔；</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检查泵叶、泵壳的腐蚀情况，泵壳及机座涂防锈漆；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轴承以及转动部位加注润滑油。</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检查水泵的密封环磨损情况，必要时进行更换或修理；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检查联轴器与轴的磨损情况必要时更换轴承或轴；</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用力矩扳手检查水泵机组螺栓是否紧固，如松弛则应拧紧。</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定压补水装置</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每半年检查一次电磁阀安全阀，根据检查情况进行校准和更换；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每半年校准一次变频器；</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水箱（罐）外观除尘、清扫，保温层修复，每季度一次；</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每半年检查一次水阀 ，并根据检查状况给阀门加油，紧固管道连接法兰螺丝；</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每年校验一次安全阀、压力表；</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每半年进行一次自控阀控制调整；</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每半年维护一次自动补水泵及配电柜；</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水处理系统</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对该设备的各连接部位、过滤器、进出口进行检查，观察是否有沉积物并及时清理；</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校验计量泵精度；</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检测进出水硬度是否合格；根据运行情况，调整制软化水处理周期。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分析本年度的药剂添加量和水质情况，选择下年度适用药剂品种和数量；</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清洁水质检测探头。</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水箱</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水箱（罐）外观除尘、清扫，保温层修复，每季度一次；</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每年校验一次安全阀、压力表。</w:t>
            </w:r>
          </w:p>
        </w:tc>
      </w:tr>
    </w:tbl>
    <w:p>
      <w:pPr>
        <w:pStyle w:val="135"/>
        <w:numPr>
          <w:ilvl w:val="2"/>
          <w:numId w:val="125"/>
        </w:numPr>
        <w:spacing w:before="120"/>
        <w:ind w:left="0" w:firstLine="482"/>
        <w:rPr>
          <w:rFonts w:hAnsi="宋体" w:cs="Arial"/>
          <w:b/>
          <w:bCs/>
        </w:rPr>
      </w:pPr>
      <w:r>
        <w:rPr>
          <w:rFonts w:hint="eastAsia" w:hAnsi="宋体" w:cs="Arial"/>
          <w:b/>
          <w:bCs/>
        </w:rPr>
        <w:t>空调风系统</w:t>
      </w:r>
    </w:p>
    <w:p>
      <w:pPr>
        <w:ind w:firstLine="480" w:firstLineChars="200"/>
        <w:rPr>
          <w:rFonts w:hAnsi="宋体" w:cs="Arial"/>
        </w:rPr>
      </w:pPr>
      <w:r>
        <w:rPr>
          <w:rFonts w:hint="eastAsia" w:hAnsi="宋体" w:cs="Arial"/>
        </w:rPr>
        <w:t>空调风系统应按周/月和季/年进行例行维护和预防性维护，维护应包括但不限于《空调风系统季/年预防性维护表》所列内容。</w:t>
      </w:r>
    </w:p>
    <w:p>
      <w:pPr>
        <w:pStyle w:val="11"/>
        <w:numPr>
          <w:ilvl w:val="8"/>
          <w:numId w:val="72"/>
        </w:numPr>
      </w:pPr>
      <w:bookmarkStart w:id="109" w:name="_Toc165045305"/>
      <w:r>
        <w:rPr>
          <w:rFonts w:hint="eastAsia"/>
        </w:rPr>
        <w:t>空调风系统季/年预防性维护表</w:t>
      </w:r>
      <w:bookmarkEnd w:id="109"/>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新风系统</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检测电气控制系统性能；</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检查空调排水是否正常，排水管是否完好，并进行清洗疏通；</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校验温度、压力等传感器；</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根据需求，进行机房空气品质检测。</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每季度检测一次机组阀门如有损坏应更换，检查供回水管道、冷媒管道有无泄漏，保温层是否完好。</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每半年清洗一次机组表冷器；</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每年校准一次风机变频器，校准方法参照厂家的操作使用说明；</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感器的校准和更换：用测量仪器仪表检测出风温湿度、回风温湿度、出风风量、风速。测量值与现场设备显示值应一致，如误差超过±2.5%的应校准传感器，无法校准的传感器应及时更换；测量使用的仪器仪表应经过校准检验并在有效期内；检查各接点是否牢固，探头插接处是否密封良好。</w:t>
            </w:r>
          </w:p>
        </w:tc>
      </w:tr>
    </w:tbl>
    <w:p>
      <w:pPr>
        <w:pStyle w:val="135"/>
        <w:numPr>
          <w:ilvl w:val="2"/>
          <w:numId w:val="125"/>
        </w:numPr>
        <w:spacing w:before="120"/>
        <w:ind w:left="0" w:firstLine="482"/>
        <w:rPr>
          <w:rFonts w:hAnsi="宋体" w:cs="Arial"/>
          <w:b/>
          <w:bCs/>
        </w:rPr>
      </w:pPr>
      <w:r>
        <w:rPr>
          <w:rFonts w:hint="eastAsia" w:hAnsi="宋体" w:cs="Arial"/>
          <w:b/>
          <w:bCs/>
        </w:rPr>
        <w:t>精密空调系统</w:t>
      </w:r>
    </w:p>
    <w:p>
      <w:pPr>
        <w:ind w:firstLine="480" w:firstLineChars="200"/>
        <w:rPr>
          <w:rFonts w:hAnsi="宋体" w:cs="Arial"/>
        </w:rPr>
      </w:pPr>
      <w:r>
        <w:rPr>
          <w:rFonts w:hint="eastAsia" w:hAnsi="宋体" w:cs="Arial"/>
        </w:rPr>
        <w:t>精密空调系统应按周/月和季/年进行例行维护和预防性维护，维护应包括但不限于《精密空调系统周/月例行维护表》、《精密空调系统季/年预防性维护表》所列内容。</w:t>
      </w:r>
    </w:p>
    <w:p>
      <w:pPr>
        <w:pStyle w:val="11"/>
        <w:numPr>
          <w:ilvl w:val="8"/>
          <w:numId w:val="72"/>
        </w:numPr>
      </w:pPr>
      <w:bookmarkStart w:id="110" w:name="_Toc165045306"/>
      <w:r>
        <w:rPr>
          <w:rFonts w:hint="eastAsia"/>
        </w:rPr>
        <w:t>精密空调系统周/月例行维护表</w:t>
      </w:r>
      <w:bookmarkEnd w:id="110"/>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回风过滤网</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检查回风过滤网滤料，并清洁或更换回风过滤网；</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电加热器：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检查加热棒翅片有无积尘，检查三级电加热器的各级加热电流及各电器节点是否正常。检查元件的腐蚀情况，电加热器的过热保护是否灵敏；</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制冷管路</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检查制冷管路是否有制冷剂（冷冻油）泄漏痕迹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水管</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每月检查一次供水管道、阀门是否正常，排水管道是否畅通</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机房空调漏水报警装置</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机房空调漏水报警装置有效性检测，同时确保防水堤地漏畅通</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翅片、水槽、冷凝水盘应干净无沉积物</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油位是否符合标准，工作时的声音是否异常</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红外加湿器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检查加湿水槽水位，调节高度</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检查接水盘内矿物质沉积情况，清洁加湿盘</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检查石英灯灯管</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检查水盘过温保护开关</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检查加湿进水管道有无漏水</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校验湿度实测值</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电极加湿罐</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根据运行需求，调整加湿罐水位设置高度；</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检查加湿器控制主板有无报警指示；</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每月清洗一次加湿罐内结垢情况，清洁加湿罐及电极；</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检查电机腐蚀情况，更换电极或更换加湿罐；</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检查喷气管孔有无堵塞、出气管坡度是否正常；</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清洁罐下接水盘；</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检查加湿进水管道有无漏水；</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检查和紧固电气控制接线。</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校验湿度实测值</w:t>
            </w:r>
          </w:p>
        </w:tc>
      </w:tr>
      <w:tr>
        <w:tblPrEx>
          <w:tblCellMar>
            <w:top w:w="0" w:type="dxa"/>
            <w:left w:w="108" w:type="dxa"/>
            <w:bottom w:w="0" w:type="dxa"/>
            <w:right w:w="108" w:type="dxa"/>
          </w:tblCellMar>
        </w:tblPrEx>
        <w:tc>
          <w:tcPr>
            <w:tcW w:w="82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418"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外部冷凝器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检查冷凝器是否洁净，如需清洁需用专用的清洗工具清洗室外冷凝器；</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检查风扇转动，有无异常噪声，运行电路是否正常；</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检查室外冷凝器的电源开关，工作是否正常，绝缘是否可靠，电器节点是否紧固；</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检查压力继电器，对室外风机的控制是否与设置的一致，并且根据当时的具体工作环境调整压力断电器；</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检查调速器的工作状态，控制是否灵敏；</w:t>
            </w:r>
          </w:p>
        </w:tc>
      </w:tr>
      <w:tr>
        <w:tblPrEx>
          <w:tblCellMar>
            <w:top w:w="0" w:type="dxa"/>
            <w:left w:w="108" w:type="dxa"/>
            <w:bottom w:w="0" w:type="dxa"/>
            <w:right w:w="108" w:type="dxa"/>
          </w:tblCellMar>
        </w:tblPrEx>
        <w:tc>
          <w:tcPr>
            <w:tcW w:w="82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检查制冷剂管路保温层是否完好，有无制冷剂泄露现象。</w:t>
            </w:r>
          </w:p>
        </w:tc>
      </w:tr>
    </w:tbl>
    <w:p>
      <w:pPr>
        <w:pStyle w:val="11"/>
        <w:numPr>
          <w:ilvl w:val="8"/>
          <w:numId w:val="72"/>
        </w:numPr>
      </w:pPr>
      <w:bookmarkStart w:id="111" w:name="_Toc165045307"/>
      <w:r>
        <w:rPr>
          <w:rFonts w:hint="eastAsia"/>
        </w:rPr>
        <w:t>精密空调系统季/年预防性维护表</w:t>
      </w:r>
      <w:bookmarkEnd w:id="111"/>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压缩机</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每季度检查一次压缩机电流并与额定电流比较，检查压缩机有无异响、振动；</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检查压缩机的三相绕组是否平衡，绕组的绝缘是否可靠；</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保护装置</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对高压保护，低压保护，过热保护，相续保护功能进行检测，保证设备的安全运行；</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并根据当时的室外环境对压力进行适当的调节；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制冷管道及膨胀阀的毛细管和平衡管</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制冷管道及膨胀阀的毛细管和平衡管是否异常；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液位视镜</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每季度检查一次膨胀阀工作是否正常；</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干燥过滤器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每季度检查一次干燥过滤器有无堵塞现象；</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加湿器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检查上水排水电磁阀性能；</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检测上水泵绝缘性能；</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检查电气控制系统；</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检查软化水装置工作是否正常，对处理后的水质进行化验是否达到要求；</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每年检查一次加湿器给水管道、阀门有无损坏，如有损耗及时更换；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每年检查一次加湿器分水器、溢流阀是否正常，如有异常调整或更换；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每年检查一次加湿器电磁阀、循环泵工作是否正常，如有维修或更换；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每半年检查一次排水管道、地漏畅通，水过滤器有无堵塞，如有应及时清洗、疏通；</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每季度检查一次加湿膜（若为湿膜加湿器）有无结垢或霉菌，如有应及时清洗或更换；</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每3到5年更换一次加湿罐（若为电极式加湿器），具体更换周期由清洗结果决定。</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排水系统</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检查排水系统是否畅通，如有水垢或异物堵塞管道，应进行疏通；</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制冷系统过热度</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进行过热度的测试，判断系统的运行效率是否能够达到指定的性能指标；</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冷冻机油和制冷剂</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根据运行情况，分析是否需要加注冷冻机油和制冷剂；</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蒸发器翅片应明亮无阻塞、无污痕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温湿度</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校准温湿度</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空调制冷效能</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空调制冷效能测试</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报警功能</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每季度检查一次精密空调报警功能，模拟故障状态，测试报警功能的及时性和准确性，如有问题应及时排除</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风冷冷凝器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每季度检查一次风冷冷凝器（室外机）</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蒸发器</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每半年清洗一次蒸发器</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15</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空调电气部分</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每半年检查一次空调电气部分，用红外热像仪检查各断路器、接线端子、交流接触器的有无异常热点，清除配电箱内灰尘，紧固接线端子的螺丝</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传感器的校准</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感器的校准：用测量仪器仪表检测出风温湿度、回风温湿度、出风风量、风速。测量值与现场设备显示值应一致，如误差超过±2.5%的应校准传感器，无法校准的传感器应及时更换；测量使用的仪器仪表应经过校准检验并在有效期内；检查各接点是否牢固，探头插接处是否密封良好</w:t>
            </w:r>
          </w:p>
        </w:tc>
      </w:tr>
    </w:tbl>
    <w:p>
      <w:pPr>
        <w:ind w:firstLine="480" w:firstLineChars="200"/>
        <w:rPr>
          <w:rFonts w:hAnsi="宋体" w:cs="Arial"/>
        </w:rPr>
      </w:pPr>
      <w:r>
        <w:rPr>
          <w:rFonts w:hint="eastAsia" w:hAnsi="宋体" w:cs="Arial"/>
        </w:rPr>
        <w:t>精密空调系统还应每年进行一次厂家级的专业维护。每年由专业公司对机房专用空调系统进行检测、保养，并出具检测报告。</w:t>
      </w:r>
    </w:p>
    <w:p>
      <w:pPr>
        <w:pStyle w:val="135"/>
        <w:numPr>
          <w:ilvl w:val="2"/>
          <w:numId w:val="125"/>
        </w:numPr>
        <w:spacing w:before="120"/>
        <w:ind w:left="0" w:firstLine="482"/>
        <w:rPr>
          <w:rFonts w:hAnsi="宋体" w:cs="Arial"/>
          <w:b/>
          <w:bCs/>
        </w:rPr>
      </w:pPr>
      <w:r>
        <w:rPr>
          <w:rFonts w:hint="eastAsia" w:hAnsi="宋体" w:cs="Arial"/>
          <w:b/>
          <w:bCs/>
        </w:rPr>
        <w:t>空调系统电动机</w:t>
      </w:r>
    </w:p>
    <w:p>
      <w:pPr>
        <w:ind w:firstLine="480" w:firstLineChars="200"/>
        <w:rPr>
          <w:rFonts w:hAnsi="宋体" w:cs="Arial"/>
        </w:rPr>
      </w:pPr>
      <w:r>
        <w:rPr>
          <w:rFonts w:hint="eastAsia" w:hAnsi="宋体" w:cs="Arial"/>
        </w:rPr>
        <w:t>空调系统电动机应按季/年进行预防性维护，预防性维护应包括但不限于《空调系统电动机季/年防性维护表》所列内容。</w:t>
      </w:r>
    </w:p>
    <w:p>
      <w:pPr>
        <w:pStyle w:val="11"/>
        <w:numPr>
          <w:ilvl w:val="8"/>
          <w:numId w:val="72"/>
        </w:numPr>
      </w:pPr>
      <w:bookmarkStart w:id="112" w:name="_Toc165045308"/>
      <w:r>
        <w:rPr>
          <w:rFonts w:hint="eastAsia"/>
        </w:rPr>
        <w:t>空调系统电动机季/年防性维护表</w:t>
      </w:r>
      <w:bookmarkEnd w:id="112"/>
    </w:p>
    <w:tbl>
      <w:tblPr>
        <w:tblStyle w:val="75"/>
        <w:tblW w:w="9049" w:type="dxa"/>
        <w:tblInd w:w="0" w:type="dxa"/>
        <w:tblLayout w:type="autofit"/>
        <w:tblCellMar>
          <w:top w:w="0" w:type="dxa"/>
          <w:left w:w="108" w:type="dxa"/>
          <w:bottom w:w="0" w:type="dxa"/>
          <w:right w:w="108" w:type="dxa"/>
        </w:tblCellMar>
      </w:tblPr>
      <w:tblGrid>
        <w:gridCol w:w="820"/>
        <w:gridCol w:w="2418"/>
        <w:gridCol w:w="5811"/>
      </w:tblGrid>
      <w:tr>
        <w:tblPrEx>
          <w:tblCellMar>
            <w:top w:w="0" w:type="dxa"/>
            <w:left w:w="108" w:type="dxa"/>
            <w:bottom w:w="0" w:type="dxa"/>
            <w:right w:w="108" w:type="dxa"/>
          </w:tblCellMar>
        </w:tblPrEx>
        <w:trPr>
          <w:tblHeader/>
        </w:trPr>
        <w:tc>
          <w:tcPr>
            <w:tcW w:w="82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2418"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维护项目</w:t>
            </w:r>
          </w:p>
        </w:tc>
        <w:tc>
          <w:tcPr>
            <w:tcW w:w="5811"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维护内容</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电机绝缘</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每半年做一次电机绝缘电阻检测，用500V摇表检查电机三相对地绝缘电阻，应不低于0.5MΩ,否则应进行干燥处理</w:t>
            </w:r>
          </w:p>
        </w:tc>
      </w:tr>
      <w:tr>
        <w:tblPrEx>
          <w:tblCellMar>
            <w:top w:w="0" w:type="dxa"/>
            <w:left w:w="108" w:type="dxa"/>
            <w:bottom w:w="0" w:type="dxa"/>
            <w:right w:w="108" w:type="dxa"/>
          </w:tblCellMar>
        </w:tblPrEx>
        <w:tc>
          <w:tcPr>
            <w:tcW w:w="82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2418"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电动机轴承</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检查电动机轴承有无阻滞或异常声响，如有则应更换同型号规格轴承</w:t>
            </w:r>
          </w:p>
        </w:tc>
      </w:tr>
      <w:tr>
        <w:tblPrEx>
          <w:tblCellMar>
            <w:top w:w="0" w:type="dxa"/>
            <w:left w:w="108" w:type="dxa"/>
            <w:bottom w:w="0" w:type="dxa"/>
            <w:right w:w="108" w:type="dxa"/>
          </w:tblCellMar>
        </w:tblPrEx>
        <w:tc>
          <w:tcPr>
            <w:tcW w:w="82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2418"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检查电机轴承是否有噪声，根据检查状况决定是否为电机轴承加脂</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电动机风叶</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检查电动机风叶有无碰壳现象，如有则应修整处理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电动机外壳风扇</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清洁电动机外壳,风扇</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脱漆</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检查电动机是否脱漆严重，如脱漆严重则应彻底铲除脱落层油漆后重新油漆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接线端子接线盒</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检查电机的接线端子是否完好，电机接线盒密封是否完好，电机外壳腐蚀情况，可进行重新喷漆</w:t>
            </w:r>
          </w:p>
        </w:tc>
      </w:tr>
      <w:tr>
        <w:tblPrEx>
          <w:tblCellMar>
            <w:top w:w="0" w:type="dxa"/>
            <w:left w:w="108" w:type="dxa"/>
            <w:bottom w:w="0" w:type="dxa"/>
            <w:right w:w="108" w:type="dxa"/>
          </w:tblCellMar>
        </w:tblPrEx>
        <w:tc>
          <w:tcPr>
            <w:tcW w:w="82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2418"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铭牌</w:t>
            </w:r>
          </w:p>
        </w:tc>
        <w:tc>
          <w:tcPr>
            <w:tcW w:w="5811"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检查电机铭牌是否清晰，如破损严重应及时更换</w:t>
            </w:r>
          </w:p>
        </w:tc>
      </w:tr>
      <w:tr>
        <w:tblPrEx>
          <w:tblCellMar>
            <w:top w:w="0" w:type="dxa"/>
            <w:left w:w="108" w:type="dxa"/>
            <w:bottom w:w="0" w:type="dxa"/>
            <w:right w:w="108" w:type="dxa"/>
          </w:tblCellMar>
        </w:tblPrEx>
        <w:tc>
          <w:tcPr>
            <w:tcW w:w="82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2418"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传动皮带</w:t>
            </w:r>
          </w:p>
        </w:tc>
        <w:tc>
          <w:tcPr>
            <w:tcW w:w="5811"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每半年检查一次电机传动皮带，根据情况及时更换</w:t>
            </w:r>
          </w:p>
        </w:tc>
      </w:tr>
    </w:tbl>
    <w:p>
      <w:pPr>
        <w:pStyle w:val="7"/>
        <w:numPr>
          <w:ilvl w:val="4"/>
          <w:numId w:val="72"/>
        </w:numPr>
      </w:pPr>
      <w:r>
        <w:rPr>
          <w:rFonts w:hint="eastAsia"/>
        </w:rPr>
        <w:t>消防系统预防性维护</w:t>
      </w:r>
    </w:p>
    <w:p>
      <w:pPr>
        <w:pStyle w:val="135"/>
        <w:numPr>
          <w:ilvl w:val="1"/>
          <w:numId w:val="126"/>
        </w:numPr>
        <w:ind w:left="0" w:firstLine="420" w:firstLineChars="175"/>
        <w:rPr>
          <w:rFonts w:hAnsi="宋体" w:cs="Arial"/>
        </w:rPr>
      </w:pPr>
      <w:r>
        <w:rPr>
          <w:rFonts w:hint="eastAsia" w:hAnsi="宋体" w:cs="Arial"/>
        </w:rPr>
        <w:t>各消防系统应有管理、检查检测、维护保养的操作规程；并应保证各系统处于准工作状态。</w:t>
      </w:r>
    </w:p>
    <w:p>
      <w:pPr>
        <w:pStyle w:val="135"/>
        <w:numPr>
          <w:ilvl w:val="1"/>
          <w:numId w:val="126"/>
        </w:numPr>
        <w:ind w:left="0" w:firstLine="420" w:firstLineChars="175"/>
        <w:rPr>
          <w:rFonts w:hAnsi="宋体" w:cs="Arial"/>
        </w:rPr>
      </w:pPr>
      <w:r>
        <w:rPr>
          <w:rFonts w:hint="eastAsia" w:hAnsi="宋体" w:cs="Arial"/>
        </w:rPr>
        <w:t>维护人员应掌握和熟悉数据中心的平面布局、特点特征及其各消防系统的原理、性能和操作规程。</w:t>
      </w:r>
    </w:p>
    <w:p>
      <w:pPr>
        <w:pStyle w:val="135"/>
        <w:numPr>
          <w:ilvl w:val="1"/>
          <w:numId w:val="126"/>
        </w:numPr>
        <w:ind w:left="0" w:firstLine="420" w:firstLineChars="175"/>
        <w:rPr>
          <w:rFonts w:hAnsi="宋体" w:cs="Arial"/>
        </w:rPr>
      </w:pPr>
      <w:r>
        <w:rPr>
          <w:rFonts w:hint="eastAsia" w:hAnsi="宋体" w:cs="Arial"/>
        </w:rPr>
        <w:t>消防控制室值班人员，应按要求记录消防控制室内消防设备的运行情况，记录频次和内容应符合《建筑消防设施的维护管理》GB 25201的要求。</w:t>
      </w:r>
    </w:p>
    <w:p>
      <w:pPr>
        <w:pStyle w:val="135"/>
        <w:numPr>
          <w:ilvl w:val="1"/>
          <w:numId w:val="126"/>
        </w:numPr>
        <w:ind w:left="0" w:firstLine="420" w:firstLineChars="175"/>
        <w:rPr>
          <w:rFonts w:hAnsi="宋体" w:cs="Arial"/>
        </w:rPr>
      </w:pPr>
      <w:r>
        <w:rPr>
          <w:rFonts w:hint="eastAsia" w:hAnsi="宋体" w:cs="Arial"/>
        </w:rPr>
        <w:t>消防巡检人员，应对建筑消防设施的不同部位和内容，按一定频次进行巡检。巡检时发现故障，应及时上报。</w:t>
      </w:r>
    </w:p>
    <w:p>
      <w:pPr>
        <w:pStyle w:val="135"/>
        <w:numPr>
          <w:ilvl w:val="1"/>
          <w:numId w:val="126"/>
        </w:numPr>
        <w:ind w:left="0" w:firstLine="420" w:firstLineChars="175"/>
        <w:rPr>
          <w:rFonts w:hAnsi="宋体" w:cs="Arial"/>
        </w:rPr>
      </w:pPr>
      <w:r>
        <w:rPr>
          <w:rFonts w:hint="eastAsia" w:hAnsi="宋体" w:cs="Arial"/>
        </w:rPr>
        <w:t>消防设备及系统发生故障时，应向主管值班人员报告，取得维护负责人的同意，并现场监督，加强防范措施后方能动工。</w:t>
      </w:r>
    </w:p>
    <w:p>
      <w:pPr>
        <w:pStyle w:val="7"/>
        <w:numPr>
          <w:ilvl w:val="4"/>
          <w:numId w:val="72"/>
        </w:numPr>
      </w:pPr>
      <w:r>
        <w:rPr>
          <w:rFonts w:hint="eastAsia"/>
        </w:rPr>
        <w:t>智能化系统预防性维护</w:t>
      </w:r>
    </w:p>
    <w:p>
      <w:pPr>
        <w:pStyle w:val="135"/>
        <w:numPr>
          <w:ilvl w:val="1"/>
          <w:numId w:val="127"/>
        </w:numPr>
        <w:ind w:left="0" w:firstLine="420" w:firstLineChars="175"/>
        <w:rPr>
          <w:rFonts w:hAnsi="宋体" w:cs="Arial"/>
        </w:rPr>
      </w:pPr>
      <w:r>
        <w:rPr>
          <w:rFonts w:hint="eastAsia" w:hAnsi="宋体" w:cs="Arial"/>
        </w:rPr>
        <w:t>维护应制定维护工作计划，包含日常维护、定期维护以及由于特殊情况而引起的临时性维护任务。</w:t>
      </w:r>
    </w:p>
    <w:p>
      <w:pPr>
        <w:pStyle w:val="135"/>
        <w:numPr>
          <w:ilvl w:val="1"/>
          <w:numId w:val="127"/>
        </w:numPr>
        <w:ind w:left="0" w:firstLine="420" w:firstLineChars="175"/>
        <w:rPr>
          <w:rFonts w:hAnsi="宋体" w:cs="Arial"/>
        </w:rPr>
      </w:pPr>
      <w:r>
        <w:rPr>
          <w:rFonts w:hint="eastAsia" w:hAnsi="宋体" w:cs="Arial"/>
        </w:rPr>
        <w:t>维护工作应准备相应的工具和材料。建立常用设备和配件的备品库以及检修工具库。</w:t>
      </w:r>
    </w:p>
    <w:p>
      <w:pPr>
        <w:pStyle w:val="135"/>
        <w:numPr>
          <w:ilvl w:val="1"/>
          <w:numId w:val="127"/>
        </w:numPr>
        <w:ind w:left="0" w:firstLine="420" w:firstLineChars="175"/>
        <w:rPr>
          <w:rFonts w:hAnsi="宋体" w:cs="Arial"/>
        </w:rPr>
      </w:pPr>
      <w:r>
        <w:rPr>
          <w:rFonts w:hint="eastAsia" w:hAnsi="宋体" w:cs="Arial"/>
        </w:rPr>
        <w:t>维护工作应每次有文字记录，完成维护工作报告，并应有相关人员签字确认。</w:t>
      </w:r>
    </w:p>
    <w:p>
      <w:pPr>
        <w:pStyle w:val="135"/>
        <w:numPr>
          <w:ilvl w:val="1"/>
          <w:numId w:val="127"/>
        </w:numPr>
        <w:ind w:left="0" w:firstLine="420" w:firstLineChars="175"/>
        <w:rPr>
          <w:rFonts w:hAnsi="宋体" w:cs="Arial"/>
        </w:rPr>
      </w:pPr>
      <w:r>
        <w:rPr>
          <w:rFonts w:hint="eastAsia" w:hAnsi="宋体" w:cs="Arial"/>
        </w:rPr>
        <w:t>维护工作人员应经专门培训和考核合格后持证上岗。</w:t>
      </w:r>
    </w:p>
    <w:p>
      <w:pPr>
        <w:pStyle w:val="6"/>
        <w:numPr>
          <w:ilvl w:val="3"/>
          <w:numId w:val="72"/>
        </w:numPr>
        <w:rPr>
          <w:color w:val="auto"/>
        </w:rPr>
      </w:pPr>
      <w:r>
        <w:rPr>
          <w:rFonts w:hint="eastAsia"/>
          <w:color w:val="auto"/>
        </w:rPr>
        <w:t>故障处理服务</w:t>
      </w:r>
    </w:p>
    <w:p>
      <w:pPr>
        <w:ind w:firstLine="480" w:firstLineChars="200"/>
        <w:rPr>
          <w:rFonts w:hAnsi="宋体" w:cs="Arial"/>
        </w:rPr>
      </w:pPr>
      <w:r>
        <w:rPr>
          <w:rFonts w:hint="eastAsia" w:hAnsi="宋体" w:cs="Arial"/>
        </w:rPr>
        <w:t>中标方应建立故障处理流程及通报机制并报管理方审批通过后执行，故障处理工单应及时填写并留存备查。</w:t>
      </w:r>
    </w:p>
    <w:p>
      <w:pPr>
        <w:pStyle w:val="6"/>
        <w:numPr>
          <w:ilvl w:val="3"/>
          <w:numId w:val="72"/>
        </w:numPr>
        <w:rPr>
          <w:color w:val="auto"/>
        </w:rPr>
      </w:pPr>
      <w:r>
        <w:rPr>
          <w:rFonts w:hint="eastAsia"/>
          <w:color w:val="auto"/>
        </w:rPr>
        <w:t>应急响应服务</w:t>
      </w:r>
    </w:p>
    <w:p>
      <w:pPr>
        <w:pStyle w:val="7"/>
        <w:numPr>
          <w:ilvl w:val="4"/>
          <w:numId w:val="72"/>
        </w:numPr>
      </w:pPr>
      <w:r>
        <w:rPr>
          <w:rFonts w:hint="eastAsia"/>
        </w:rPr>
        <w:t>应急响应组织要求</w:t>
      </w:r>
      <w:r>
        <w:tab/>
      </w:r>
    </w:p>
    <w:p>
      <w:pPr>
        <w:pStyle w:val="135"/>
        <w:numPr>
          <w:ilvl w:val="1"/>
          <w:numId w:val="128"/>
        </w:numPr>
        <w:ind w:left="0" w:firstLine="420" w:firstLineChars="175"/>
        <w:rPr>
          <w:rFonts w:hAnsi="宋体" w:cs="Arial"/>
        </w:rPr>
      </w:pPr>
      <w:r>
        <w:rPr>
          <w:rFonts w:hint="eastAsia" w:hAnsi="宋体" w:cs="Arial"/>
        </w:rPr>
        <w:t>应急响应组织的人员应包含运行维护服务组织的人员；</w:t>
      </w:r>
    </w:p>
    <w:p>
      <w:pPr>
        <w:pStyle w:val="135"/>
        <w:numPr>
          <w:ilvl w:val="1"/>
          <w:numId w:val="128"/>
        </w:numPr>
        <w:ind w:left="0" w:firstLine="420" w:firstLineChars="175"/>
        <w:rPr>
          <w:rFonts w:hAnsi="宋体" w:cs="Arial"/>
        </w:rPr>
      </w:pPr>
      <w:r>
        <w:rPr>
          <w:rFonts w:hint="eastAsia" w:hAnsi="宋体" w:cs="Arial"/>
        </w:rPr>
        <w:t>应急响应组织由相关利益方组成，包括服务需方、服务供方、分包方、供应商等；</w:t>
      </w:r>
    </w:p>
    <w:p>
      <w:pPr>
        <w:pStyle w:val="135"/>
        <w:numPr>
          <w:ilvl w:val="1"/>
          <w:numId w:val="128"/>
        </w:numPr>
        <w:ind w:left="0" w:firstLine="420" w:firstLineChars="175"/>
        <w:rPr>
          <w:rFonts w:hAnsi="宋体" w:cs="Arial"/>
        </w:rPr>
      </w:pPr>
      <w:r>
        <w:rPr>
          <w:rFonts w:hint="eastAsia" w:hAnsi="宋体" w:cs="Arial"/>
        </w:rPr>
        <w:t>应规定运行维护服务及应急响应所有相关利益方的角色及职责；</w:t>
      </w:r>
    </w:p>
    <w:p>
      <w:pPr>
        <w:pStyle w:val="135"/>
        <w:numPr>
          <w:ilvl w:val="1"/>
          <w:numId w:val="128"/>
        </w:numPr>
        <w:ind w:left="0" w:firstLine="420" w:firstLineChars="175"/>
        <w:rPr>
          <w:rFonts w:hAnsi="宋体" w:cs="Arial"/>
        </w:rPr>
      </w:pPr>
      <w:r>
        <w:rPr>
          <w:rFonts w:hint="eastAsia" w:hAnsi="宋体" w:cs="Arial"/>
        </w:rPr>
        <w:t>应急响应服务的范围、要求等应与相关利益方达成一致，确定沟通流程和方式，并形成记录；</w:t>
      </w:r>
    </w:p>
    <w:p>
      <w:pPr>
        <w:pStyle w:val="135"/>
        <w:numPr>
          <w:ilvl w:val="1"/>
          <w:numId w:val="128"/>
        </w:numPr>
        <w:ind w:left="0" w:firstLine="420" w:firstLineChars="175"/>
        <w:rPr>
          <w:rFonts w:hAnsi="宋体" w:cs="Arial"/>
        </w:rPr>
      </w:pPr>
      <w:r>
        <w:rPr>
          <w:rFonts w:hint="eastAsia" w:hAnsi="宋体" w:cs="Arial"/>
        </w:rPr>
        <w:t>将应急响应组织统一纳入运维管理组织内。</w:t>
      </w:r>
    </w:p>
    <w:p>
      <w:pPr>
        <w:pStyle w:val="7"/>
        <w:numPr>
          <w:ilvl w:val="4"/>
          <w:numId w:val="72"/>
        </w:numPr>
      </w:pPr>
      <w:r>
        <w:rPr>
          <w:rFonts w:hint="eastAsia"/>
        </w:rPr>
        <w:t>应急响应制度要求</w:t>
      </w:r>
    </w:p>
    <w:p>
      <w:pPr>
        <w:pStyle w:val="135"/>
        <w:numPr>
          <w:ilvl w:val="1"/>
          <w:numId w:val="129"/>
        </w:numPr>
        <w:ind w:left="0" w:firstLine="420" w:firstLineChars="175"/>
        <w:rPr>
          <w:rFonts w:hAnsi="宋体" w:cs="Arial"/>
        </w:rPr>
      </w:pPr>
      <w:r>
        <w:rPr>
          <w:rFonts w:hint="eastAsia" w:hAnsi="宋体" w:cs="Arial"/>
        </w:rPr>
        <w:t>明确应急响应的目标、原则、范围以及各项管理制度；</w:t>
      </w:r>
    </w:p>
    <w:p>
      <w:pPr>
        <w:pStyle w:val="135"/>
        <w:numPr>
          <w:ilvl w:val="1"/>
          <w:numId w:val="129"/>
        </w:numPr>
        <w:ind w:left="0" w:firstLine="420" w:firstLineChars="175"/>
        <w:rPr>
          <w:rFonts w:hAnsi="宋体" w:cs="Arial"/>
        </w:rPr>
      </w:pPr>
      <w:r>
        <w:rPr>
          <w:rFonts w:hint="eastAsia" w:hAnsi="宋体" w:cs="Arial"/>
        </w:rPr>
        <w:t>与相关利益方就应急响应制度达成一致。</w:t>
      </w:r>
    </w:p>
    <w:p>
      <w:pPr>
        <w:pStyle w:val="7"/>
        <w:numPr>
          <w:ilvl w:val="4"/>
          <w:numId w:val="72"/>
        </w:numPr>
      </w:pPr>
      <w:r>
        <w:rPr>
          <w:rFonts w:hint="eastAsia"/>
        </w:rPr>
        <w:t>风险评估和改进要求</w:t>
      </w:r>
    </w:p>
    <w:p>
      <w:pPr>
        <w:ind w:firstLine="480" w:firstLineChars="200"/>
        <w:rPr>
          <w:rFonts w:hAnsi="宋体" w:cs="Arial"/>
        </w:rPr>
      </w:pPr>
      <w:r>
        <w:rPr>
          <w:rFonts w:hint="eastAsia" w:hAnsi="宋体" w:cs="Arial"/>
        </w:rPr>
        <w:t>（1）按照确定的方法和流程对重要信息系统实施风险评估，并形成书面的风险识别及评估表；</w:t>
      </w:r>
    </w:p>
    <w:p>
      <w:pPr>
        <w:ind w:firstLine="480" w:firstLineChars="200"/>
        <w:rPr>
          <w:rFonts w:hAnsi="宋体" w:cs="Arial"/>
        </w:rPr>
      </w:pPr>
      <w:r>
        <w:rPr>
          <w:rFonts w:hint="eastAsia" w:hAnsi="宋体" w:cs="Arial"/>
        </w:rPr>
        <w:t>（2）组织应了解当风险演变为应急事件时所产生的影响和后果，以及信息系统服务中断所带来的损失；</w:t>
      </w:r>
    </w:p>
    <w:p>
      <w:pPr>
        <w:ind w:firstLine="480" w:firstLineChars="200"/>
        <w:rPr>
          <w:rFonts w:hAnsi="宋体" w:cs="Arial"/>
        </w:rPr>
      </w:pPr>
      <w:r>
        <w:rPr>
          <w:rFonts w:hint="eastAsia" w:hAnsi="宋体" w:cs="Arial"/>
        </w:rPr>
        <w:t>（3）形成风险评估报告。</w:t>
      </w:r>
    </w:p>
    <w:p>
      <w:pPr>
        <w:pStyle w:val="7"/>
        <w:numPr>
          <w:ilvl w:val="4"/>
          <w:numId w:val="72"/>
        </w:numPr>
      </w:pPr>
      <w:r>
        <w:rPr>
          <w:rFonts w:hint="eastAsia"/>
        </w:rPr>
        <w:t>划分应急事件级别要求</w:t>
      </w:r>
    </w:p>
    <w:p>
      <w:pPr>
        <w:ind w:firstLine="480" w:firstLineChars="200"/>
        <w:rPr>
          <w:rFonts w:hAnsi="宋体" w:cs="Arial"/>
        </w:rPr>
      </w:pPr>
      <w:r>
        <w:rPr>
          <w:rFonts w:hint="eastAsia" w:hAnsi="宋体" w:cs="Arial"/>
        </w:rPr>
        <w:t>（1）组织应根据信息系统的重要程度、信息系统服务时段、信息系统受损程度对可能发生的应急事件进行级别划分；</w:t>
      </w:r>
    </w:p>
    <w:p>
      <w:pPr>
        <w:ind w:firstLine="480" w:firstLineChars="200"/>
        <w:rPr>
          <w:rFonts w:hAnsi="宋体" w:cs="Arial"/>
        </w:rPr>
      </w:pPr>
      <w:r>
        <w:rPr>
          <w:rFonts w:hint="eastAsia" w:hAnsi="宋体" w:cs="Arial"/>
        </w:rPr>
        <w:t>（2）组织应结合自身的业务要求，对应急事件级别对应的响应时间、处置完成时间等达成一致；</w:t>
      </w:r>
    </w:p>
    <w:p>
      <w:pPr>
        <w:ind w:firstLine="480" w:firstLineChars="200"/>
        <w:rPr>
          <w:rFonts w:hAnsi="宋体" w:cs="Arial"/>
        </w:rPr>
      </w:pPr>
      <w:r>
        <w:rPr>
          <w:rFonts w:hint="eastAsia" w:hAnsi="宋体" w:cs="Arial"/>
        </w:rPr>
        <w:t>（3）组织应根据应急事件级别配置响应的保障措施，如人员、资金和设备等。</w:t>
      </w:r>
    </w:p>
    <w:p>
      <w:pPr>
        <w:pStyle w:val="7"/>
        <w:numPr>
          <w:ilvl w:val="4"/>
          <w:numId w:val="72"/>
        </w:numPr>
      </w:pPr>
      <w:r>
        <w:rPr>
          <w:rFonts w:hint="eastAsia"/>
        </w:rPr>
        <w:t>应急预案及演练管理</w:t>
      </w:r>
    </w:p>
    <w:p>
      <w:pPr>
        <w:pStyle w:val="135"/>
        <w:numPr>
          <w:ilvl w:val="1"/>
          <w:numId w:val="130"/>
        </w:numPr>
        <w:ind w:left="0" w:firstLine="420" w:firstLineChars="175"/>
        <w:rPr>
          <w:rFonts w:hAnsi="宋体" w:cs="Arial"/>
        </w:rPr>
      </w:pPr>
      <w:r>
        <w:rPr>
          <w:rFonts w:hint="eastAsia" w:hAnsi="宋体" w:cs="Arial"/>
        </w:rPr>
        <w:t>中标方应根据数字福建云计算中心（政务云）实际运行情况，开展数字福建云计算中心（政务云）风险排查，识别数字福建云计算中心运行过程中可能存在的风险点。针对各风险点开展深入分析，归类，制定相应应急预案与定期演练计划，达到预防风险产生以及在风险实际发生后能得到及时妥善地处置的目的，确保数字福建云计算中心（政务云）安全平稳运行。</w:t>
      </w:r>
    </w:p>
    <w:p>
      <w:pPr>
        <w:pStyle w:val="135"/>
        <w:numPr>
          <w:ilvl w:val="1"/>
          <w:numId w:val="130"/>
        </w:numPr>
        <w:ind w:left="0" w:firstLine="420" w:firstLineChars="175"/>
        <w:rPr>
          <w:rFonts w:hAnsi="宋体" w:cs="Arial"/>
        </w:rPr>
      </w:pPr>
      <w:r>
        <w:rPr>
          <w:rFonts w:hint="eastAsia" w:hAnsi="宋体" w:cs="Arial"/>
        </w:rPr>
        <w:t>中标方应组织对应急预案进行评审，并与相关利益方达成一致。经过评审确认的应急预案，应由应急响应责任者负责发布。</w:t>
      </w:r>
    </w:p>
    <w:p>
      <w:pPr>
        <w:pStyle w:val="135"/>
        <w:numPr>
          <w:ilvl w:val="1"/>
          <w:numId w:val="130"/>
        </w:numPr>
        <w:ind w:left="0" w:firstLine="420" w:firstLineChars="175"/>
        <w:rPr>
          <w:rFonts w:hAnsi="宋体" w:cs="Arial"/>
        </w:rPr>
      </w:pPr>
      <w:r>
        <w:rPr>
          <w:rFonts w:hint="eastAsia" w:hAnsi="宋体" w:cs="Arial"/>
        </w:rPr>
        <w:t>应急预案及演练计划报业主单位审批通过后应组织相关人员进行应急预案培训，培训完成后按计划组织相关各方进行演练，演练的整个过程应有详细的记录，并形成报告。</w:t>
      </w:r>
    </w:p>
    <w:p>
      <w:pPr>
        <w:pStyle w:val="135"/>
        <w:numPr>
          <w:ilvl w:val="1"/>
          <w:numId w:val="130"/>
        </w:numPr>
        <w:ind w:left="0" w:firstLine="420" w:firstLineChars="175"/>
        <w:rPr>
          <w:rFonts w:hAnsi="宋体" w:cs="Arial"/>
        </w:rPr>
      </w:pPr>
      <w:r>
        <w:rPr>
          <w:rFonts w:hint="eastAsia" w:hAnsi="宋体" w:cs="Arial"/>
        </w:rPr>
        <w:t>为确保工作有序开展，应安排专人负责应急响应预案编制、演练的执行检查工作，加强执行力度。</w:t>
      </w:r>
    </w:p>
    <w:p>
      <w:pPr>
        <w:pStyle w:val="135"/>
        <w:numPr>
          <w:ilvl w:val="1"/>
          <w:numId w:val="130"/>
        </w:numPr>
        <w:ind w:left="0" w:firstLine="420" w:firstLineChars="175"/>
        <w:rPr>
          <w:rFonts w:hAnsi="宋体" w:cs="Arial"/>
        </w:rPr>
      </w:pPr>
      <w:r>
        <w:rPr>
          <w:rFonts w:hint="eastAsia" w:hAnsi="宋体" w:cs="Arial"/>
        </w:rPr>
        <w:t>应急预案包括但不限于以下内容：设备断电故障应急预案，市电中断应急预案（须包含柴油发电机供电），</w:t>
      </w:r>
      <w:r>
        <w:rPr>
          <w:rFonts w:hint="eastAsia" w:hAnsi="宋体" w:cs="Arial"/>
        </w:rPr>
        <w:tab/>
      </w:r>
      <w:r>
        <w:rPr>
          <w:rFonts w:hint="eastAsia" w:hAnsi="宋体" w:cs="Arial"/>
        </w:rPr>
        <w:t>空调系统（包括制冷系统）故障处置应急预案，市政供水中断应急预案，消防处置应急预案，</w:t>
      </w:r>
      <w:r>
        <w:rPr>
          <w:rFonts w:hint="eastAsia" w:hAnsi="宋体" w:cs="Arial"/>
        </w:rPr>
        <w:tab/>
      </w:r>
      <w:r>
        <w:rPr>
          <w:rFonts w:hint="eastAsia" w:hAnsi="宋体" w:cs="Arial"/>
        </w:rPr>
        <w:t>紧急事件人员疏散应急预案等</w:t>
      </w:r>
    </w:p>
    <w:p>
      <w:pPr>
        <w:pStyle w:val="135"/>
        <w:numPr>
          <w:ilvl w:val="1"/>
          <w:numId w:val="130"/>
        </w:numPr>
        <w:ind w:left="0" w:firstLine="420" w:firstLineChars="175"/>
        <w:rPr>
          <w:rFonts w:hAnsi="宋体" w:cs="Arial"/>
        </w:rPr>
      </w:pPr>
      <w:r>
        <w:rPr>
          <w:rFonts w:hint="eastAsia" w:hAnsi="宋体" w:cs="Arial"/>
        </w:rPr>
        <w:t>每年开展不少于四次不同专业的演练，至少开展一次消防演练和一次市电中断演练。</w:t>
      </w:r>
    </w:p>
    <w:p>
      <w:pPr>
        <w:pStyle w:val="135"/>
        <w:numPr>
          <w:ilvl w:val="1"/>
          <w:numId w:val="130"/>
        </w:numPr>
        <w:ind w:left="0" w:firstLine="420" w:firstLineChars="175"/>
        <w:rPr>
          <w:rFonts w:hAnsi="宋体" w:cs="Arial"/>
        </w:rPr>
      </w:pPr>
      <w:r>
        <w:rPr>
          <w:rFonts w:hint="eastAsia" w:hAnsi="宋体" w:cs="Arial"/>
        </w:rPr>
        <w:t>如遇重大活动中标方应按照甲方要求在活动前开展一次应急演练。</w:t>
      </w:r>
    </w:p>
    <w:p>
      <w:pPr>
        <w:pStyle w:val="7"/>
        <w:numPr>
          <w:ilvl w:val="4"/>
          <w:numId w:val="72"/>
        </w:numPr>
      </w:pPr>
      <w:r>
        <w:rPr>
          <w:rFonts w:hint="eastAsia"/>
        </w:rPr>
        <w:t>日常监测与预警要求</w:t>
      </w:r>
    </w:p>
    <w:p>
      <w:pPr>
        <w:ind w:firstLine="480" w:firstLineChars="200"/>
        <w:rPr>
          <w:rFonts w:hAnsi="宋体" w:cs="Arial"/>
        </w:rPr>
      </w:pPr>
      <w:r>
        <w:rPr>
          <w:rFonts w:hint="eastAsia" w:hAnsi="宋体" w:cs="Arial"/>
        </w:rPr>
        <w:t>（1）应结合运行维护服务级别协议和应急响应预案，组织开展日常监测与预警活动；</w:t>
      </w:r>
    </w:p>
    <w:p>
      <w:pPr>
        <w:ind w:firstLine="480" w:firstLineChars="200"/>
        <w:rPr>
          <w:rFonts w:hAnsi="宋体" w:cs="Arial"/>
        </w:rPr>
      </w:pPr>
      <w:r>
        <w:rPr>
          <w:rFonts w:hint="eastAsia" w:hAnsi="宋体" w:cs="Arial"/>
        </w:rPr>
        <w:t>（2）应建立监测、预警的记录和报告制度，并按照约定的形式和时间间隔上报现场负责人。发现应急事件时，值班人员应及时向现场负责人提交报告，并确认对方收到报告。</w:t>
      </w:r>
    </w:p>
    <w:p>
      <w:pPr>
        <w:ind w:firstLine="480" w:firstLineChars="200"/>
        <w:rPr>
          <w:rFonts w:hAnsi="宋体" w:cs="Arial"/>
        </w:rPr>
      </w:pPr>
      <w:r>
        <w:rPr>
          <w:rFonts w:hint="eastAsia" w:hAnsi="宋体" w:cs="Arial"/>
        </w:rPr>
        <w:t>（3）值班人员应采取必要措施，开展应急事件的先期处置，以提高应急响应效率，避免次生、衍生事件的发生。</w:t>
      </w:r>
    </w:p>
    <w:p>
      <w:pPr>
        <w:ind w:firstLine="480" w:firstLineChars="200"/>
        <w:rPr>
          <w:rFonts w:hAnsi="宋体" w:cs="Arial"/>
        </w:rPr>
      </w:pPr>
      <w:r>
        <w:rPr>
          <w:rFonts w:hint="eastAsia" w:hAnsi="宋体" w:cs="Arial"/>
        </w:rPr>
        <w:t>（4）应该对应急事件保持持续性跟踪。</w:t>
      </w:r>
    </w:p>
    <w:p>
      <w:pPr>
        <w:pStyle w:val="7"/>
        <w:numPr>
          <w:ilvl w:val="4"/>
          <w:numId w:val="72"/>
        </w:numPr>
      </w:pPr>
      <w:r>
        <w:rPr>
          <w:rFonts w:hint="eastAsia"/>
        </w:rPr>
        <w:t>应急响应预案启动要求</w:t>
      </w:r>
    </w:p>
    <w:p>
      <w:pPr>
        <w:ind w:firstLine="480" w:firstLineChars="200"/>
        <w:rPr>
          <w:rFonts w:hAnsi="宋体" w:cs="Arial"/>
        </w:rPr>
      </w:pPr>
      <w:r>
        <w:rPr>
          <w:rFonts w:hint="eastAsia" w:hAnsi="宋体" w:cs="Arial"/>
        </w:rPr>
        <w:t>（1）应建立、审议应急响应预案启动的策略和程序，以控制预案启动的授权和实施。</w:t>
      </w:r>
    </w:p>
    <w:p>
      <w:pPr>
        <w:ind w:firstLine="480" w:firstLineChars="200"/>
        <w:rPr>
          <w:rFonts w:hAnsi="宋体" w:cs="Arial"/>
        </w:rPr>
      </w:pPr>
      <w:r>
        <w:rPr>
          <w:rFonts w:hint="eastAsia" w:hAnsi="宋体" w:cs="Arial"/>
        </w:rPr>
        <w:t>（2）应记录应急响应预案启动的过程和结果。</w:t>
      </w:r>
    </w:p>
    <w:p>
      <w:pPr>
        <w:pStyle w:val="5"/>
        <w:numPr>
          <w:ilvl w:val="2"/>
          <w:numId w:val="72"/>
        </w:numPr>
      </w:pPr>
      <w:bookmarkStart w:id="113" w:name="_Toc4624"/>
      <w:r>
        <w:rPr>
          <w:rFonts w:hint="eastAsia"/>
        </w:rPr>
        <w:t>运维管理服务要求</w:t>
      </w:r>
      <w:bookmarkEnd w:id="113"/>
    </w:p>
    <w:p>
      <w:pPr>
        <w:pStyle w:val="6"/>
        <w:numPr>
          <w:ilvl w:val="3"/>
          <w:numId w:val="72"/>
        </w:numPr>
        <w:rPr>
          <w:color w:val="auto"/>
        </w:rPr>
      </w:pPr>
      <w:r>
        <w:rPr>
          <w:rFonts w:hint="eastAsia"/>
          <w:color w:val="auto"/>
        </w:rPr>
        <w:t>运维服务体系优化完善（项号6）</w:t>
      </w:r>
    </w:p>
    <w:p>
      <w:pPr>
        <w:pStyle w:val="7"/>
        <w:numPr>
          <w:ilvl w:val="4"/>
          <w:numId w:val="72"/>
        </w:numPr>
      </w:pPr>
      <w:r>
        <w:rPr>
          <w:rFonts w:hint="eastAsia"/>
        </w:rPr>
        <w:t>运维服务体系总体要求</w:t>
      </w:r>
    </w:p>
    <w:p>
      <w:pPr>
        <w:ind w:firstLine="480" w:firstLineChars="200"/>
        <w:rPr>
          <w:rFonts w:hAnsi="宋体" w:cs="Arial"/>
        </w:rPr>
      </w:pPr>
      <w:r>
        <w:rPr>
          <w:rFonts w:hint="eastAsia" w:hAnsi="宋体" w:cs="Arial"/>
        </w:rPr>
        <w:t>运维服务实施需根据运维服务体系框架的要求进一步调研分析云计算中心基础设施运维需求，协助甲方定制细化各项流程制度，有效指引和规范运维团队的日常管理、运行监控与技术保障等现场工作；在合同期内，ITSS信息技术服务运行维护通用要求的年度测评。</w:t>
      </w:r>
    </w:p>
    <w:p>
      <w:pPr>
        <w:pStyle w:val="7"/>
        <w:numPr>
          <w:ilvl w:val="4"/>
          <w:numId w:val="72"/>
        </w:numPr>
      </w:pPr>
      <w:r>
        <w:rPr>
          <w:rFonts w:hint="eastAsia"/>
        </w:rPr>
        <w:t>运维服务体系具体要求</w:t>
      </w:r>
    </w:p>
    <w:p>
      <w:pPr>
        <w:ind w:firstLine="480" w:firstLineChars="200"/>
        <w:rPr>
          <w:rFonts w:hAnsi="宋体" w:cs="Arial"/>
        </w:rPr>
      </w:pPr>
      <w:r>
        <w:rPr>
          <w:rFonts w:hint="eastAsia" w:hAnsi="宋体" w:cs="Arial"/>
        </w:rPr>
        <w:t>中标方应协助甲方优化完善各项流程制度，交付运维管理体系相关文档和运维过程交付文档，全部档案资料版权归业主单位-省经济信息中心所有，未经许可不能以任何形式向第三方提供。</w:t>
      </w:r>
    </w:p>
    <w:p>
      <w:pPr>
        <w:ind w:firstLine="482" w:firstLineChars="200"/>
        <w:rPr>
          <w:rFonts w:hAnsi="宋体" w:cs="Arial"/>
          <w:b/>
          <w:bCs/>
        </w:rPr>
      </w:pPr>
      <w:r>
        <w:rPr>
          <w:rFonts w:hint="eastAsia" w:hAnsi="宋体" w:cs="Arial"/>
          <w:b/>
          <w:bCs/>
        </w:rPr>
        <w:t>1、交付内容要求</w:t>
      </w:r>
    </w:p>
    <w:p>
      <w:pPr>
        <w:ind w:firstLine="480" w:firstLineChars="200"/>
        <w:rPr>
          <w:rFonts w:hAnsi="宋体" w:cs="Arial"/>
        </w:rPr>
      </w:pPr>
      <w:r>
        <w:rPr>
          <w:rFonts w:hint="eastAsia" w:hAnsi="宋体" w:cs="Arial"/>
        </w:rPr>
        <w:t>中标方应协助甲方总结云计算中心基础设施运维经验，梳理优化《数字福建云计算中心（政务云）基础设施运维管理制度》2.0版本，具体要求如下：</w:t>
      </w:r>
    </w:p>
    <w:p>
      <w:pPr>
        <w:ind w:firstLine="480" w:firstLineChars="200"/>
        <w:rPr>
          <w:rFonts w:hAnsi="宋体" w:cs="Arial"/>
        </w:rPr>
      </w:pPr>
      <w:r>
        <w:rPr>
          <w:rFonts w:hint="eastAsia" w:hAnsi="宋体" w:cs="Arial"/>
        </w:rPr>
        <w:t>（1）总则；</w:t>
      </w:r>
    </w:p>
    <w:p>
      <w:pPr>
        <w:ind w:firstLine="480" w:firstLineChars="200"/>
        <w:rPr>
          <w:rFonts w:hAnsi="宋体" w:cs="Arial"/>
        </w:rPr>
      </w:pPr>
      <w:r>
        <w:rPr>
          <w:rFonts w:hint="eastAsia" w:hAnsi="宋体" w:cs="Arial"/>
        </w:rPr>
        <w:t>（2）运行维护管理（含：监控管理、值班管理、巡检管理、作业管理、供应商管理、资产管理、变更管理、容量管理、故障管理、问题管理、资料管理、运维人员管理等）；</w:t>
      </w:r>
    </w:p>
    <w:p>
      <w:pPr>
        <w:ind w:firstLine="480" w:firstLineChars="200"/>
        <w:rPr>
          <w:rFonts w:hAnsi="宋体" w:cs="Arial"/>
        </w:rPr>
      </w:pPr>
      <w:r>
        <w:rPr>
          <w:rFonts w:hint="eastAsia" w:hAnsi="宋体" w:cs="Arial"/>
        </w:rPr>
        <w:t>（3）安全管理（含：消防安全管理、人员安全及职业健康管理、机房出入管理、机房环境管理、运维及办公网络管理和系统安全管理等）；</w:t>
      </w:r>
    </w:p>
    <w:p>
      <w:pPr>
        <w:ind w:firstLine="480" w:firstLineChars="200"/>
        <w:rPr>
          <w:rFonts w:hAnsi="宋体" w:cs="Arial"/>
        </w:rPr>
      </w:pPr>
      <w:r>
        <w:rPr>
          <w:rFonts w:hint="eastAsia" w:hAnsi="宋体" w:cs="Arial"/>
        </w:rPr>
        <w:t>（4）质量管理（含：质量保障、质量控制、持续改进等）；</w:t>
      </w:r>
    </w:p>
    <w:p>
      <w:pPr>
        <w:ind w:firstLine="480" w:firstLineChars="200"/>
        <w:rPr>
          <w:rFonts w:hAnsi="宋体" w:cs="Arial"/>
        </w:rPr>
      </w:pPr>
      <w:r>
        <w:rPr>
          <w:rFonts w:hint="eastAsia" w:hAnsi="宋体" w:cs="Arial"/>
        </w:rPr>
        <w:t>（5）应急管理（含：风险识别、制定预案、应急演练等）；</w:t>
      </w:r>
    </w:p>
    <w:p>
      <w:pPr>
        <w:ind w:firstLine="480" w:firstLineChars="200"/>
        <w:rPr>
          <w:rFonts w:hAnsi="宋体" w:cs="Arial"/>
        </w:rPr>
      </w:pPr>
      <w:r>
        <w:rPr>
          <w:rFonts w:hint="eastAsia" w:hAnsi="宋体" w:cs="Arial"/>
        </w:rPr>
        <w:t>（6）能效管理（含：能效监测、能效优化等）；</w:t>
      </w:r>
    </w:p>
    <w:p>
      <w:pPr>
        <w:ind w:firstLine="480" w:firstLineChars="200"/>
        <w:rPr>
          <w:rFonts w:hAnsi="宋体" w:cs="Arial"/>
        </w:rPr>
      </w:pPr>
      <w:r>
        <w:rPr>
          <w:rFonts w:hint="eastAsia" w:hAnsi="宋体" w:cs="Arial"/>
        </w:rPr>
        <w:t>（7）绩效管理（含：绩效指标、评估体系等）；</w:t>
      </w:r>
    </w:p>
    <w:p>
      <w:pPr>
        <w:ind w:firstLine="480" w:firstLineChars="200"/>
        <w:rPr>
          <w:rFonts w:hAnsi="宋体" w:cs="Arial"/>
        </w:rPr>
      </w:pPr>
      <w:r>
        <w:rPr>
          <w:rFonts w:hint="eastAsia" w:hAnsi="宋体" w:cs="Arial"/>
        </w:rPr>
        <w:t>（8）附件：操作手册（含：电气专业、通风与空调、智能化、消防等）。</w:t>
      </w:r>
    </w:p>
    <w:p>
      <w:pPr>
        <w:ind w:firstLine="482" w:firstLineChars="200"/>
        <w:rPr>
          <w:rFonts w:hAnsi="宋体" w:cs="Arial"/>
          <w:b/>
          <w:bCs/>
        </w:rPr>
      </w:pPr>
      <w:r>
        <w:rPr>
          <w:rFonts w:hint="eastAsia" w:hAnsi="宋体" w:cs="Arial"/>
          <w:b/>
          <w:bCs/>
        </w:rPr>
        <w:t>2、文档编制要求</w:t>
      </w:r>
    </w:p>
    <w:p>
      <w:pPr>
        <w:ind w:firstLine="480" w:firstLineChars="200"/>
        <w:rPr>
          <w:rFonts w:hAnsi="宋体" w:cs="Arial"/>
        </w:rPr>
      </w:pPr>
      <w:r>
        <w:rPr>
          <w:rFonts w:hint="eastAsia" w:hAnsi="宋体" w:cs="Arial"/>
        </w:rPr>
        <w:t>中标方须结合云计算中心运维实际工作，编制基础设施运维管理制度，相关管理规定、工作流程、记录表单等应与运维实际工作相符合。</w:t>
      </w:r>
    </w:p>
    <w:p>
      <w:pPr>
        <w:ind w:firstLine="480" w:firstLineChars="200"/>
        <w:rPr>
          <w:rFonts w:hAnsi="宋体" w:cs="Arial"/>
        </w:rPr>
      </w:pPr>
      <w:r>
        <w:rPr>
          <w:rFonts w:hint="eastAsia" w:hAnsi="宋体" w:cs="Arial"/>
        </w:rPr>
        <w:t>在运维服务期内中标方须持续优化完善管理制度，通过定期的制度审查、运维人员反馈和持续改进等方式，不断完善管理制度体系，提高其实用性和适应性。</w:t>
      </w:r>
    </w:p>
    <w:p>
      <w:pPr>
        <w:ind w:firstLine="480" w:firstLineChars="200"/>
        <w:rPr>
          <w:rFonts w:hAnsi="宋体" w:cs="Arial"/>
        </w:rPr>
      </w:pPr>
      <w:r>
        <w:rPr>
          <w:rFonts w:hint="eastAsia" w:hAnsi="宋体" w:cs="Arial"/>
        </w:rPr>
        <w:t>所有交付文档应建立统一的文档版本号、文档名称、变更标识及记录规则、文档格式要求，并定期更新、整理、归档、保存，具体如下：</w:t>
      </w:r>
    </w:p>
    <w:p>
      <w:pPr>
        <w:ind w:firstLine="480" w:firstLineChars="200"/>
        <w:rPr>
          <w:rFonts w:hAnsi="宋体" w:cs="Arial"/>
        </w:rPr>
      </w:pPr>
      <w:r>
        <w:rPr>
          <w:rFonts w:hint="eastAsia" w:hAnsi="宋体" w:cs="Arial"/>
        </w:rPr>
        <w:t>（1）文档版本号、文档名称：所有文档版本号、文档名称必须统一格式和命名规则；</w:t>
      </w:r>
    </w:p>
    <w:p>
      <w:pPr>
        <w:ind w:firstLine="480" w:firstLineChars="200"/>
        <w:rPr>
          <w:rFonts w:hAnsi="宋体" w:cs="Arial"/>
        </w:rPr>
      </w:pPr>
      <w:r>
        <w:rPr>
          <w:rFonts w:hint="eastAsia" w:hAnsi="宋体" w:cs="Arial"/>
        </w:rPr>
        <w:t>（2）变更标识及记录规则：对所有文档进行修订须在文档版本号及变更记录页作好相应更改记录，描述修订日期、</w:t>
      </w:r>
      <w:r>
        <w:rPr>
          <w:rFonts w:hint="eastAsia" w:hAnsi="宋体" w:cs="Arial"/>
        </w:rPr>
        <w:tab/>
      </w:r>
      <w:r>
        <w:rPr>
          <w:rFonts w:hint="eastAsia" w:hAnsi="宋体" w:cs="Arial"/>
        </w:rPr>
        <w:t>变更类型、</w:t>
      </w:r>
      <w:r>
        <w:rPr>
          <w:rFonts w:hint="eastAsia" w:hAnsi="宋体" w:cs="Arial"/>
        </w:rPr>
        <w:tab/>
      </w:r>
      <w:r>
        <w:rPr>
          <w:rFonts w:hint="eastAsia" w:hAnsi="宋体" w:cs="Arial"/>
        </w:rPr>
        <w:t>变更后版本号、</w:t>
      </w:r>
      <w:r>
        <w:rPr>
          <w:rFonts w:hint="eastAsia" w:hAnsi="宋体" w:cs="Arial"/>
        </w:rPr>
        <w:tab/>
      </w:r>
      <w:r>
        <w:rPr>
          <w:rFonts w:hint="eastAsia" w:hAnsi="宋体" w:cs="Arial"/>
        </w:rPr>
        <w:t>变更内容简述；</w:t>
      </w:r>
    </w:p>
    <w:p>
      <w:pPr>
        <w:ind w:firstLine="480" w:firstLineChars="200"/>
        <w:rPr>
          <w:rFonts w:hAnsi="宋体" w:cs="Arial"/>
        </w:rPr>
      </w:pPr>
      <w:r>
        <w:rPr>
          <w:rFonts w:hint="eastAsia" w:hAnsi="宋体" w:cs="Arial"/>
        </w:rPr>
        <w:t>（3）文档格式要求：必须对所有文档的正文字体、标题样式、段落格式、表格样式、页面设置、页眉页脚、页码等制定统一的文档格式要求。</w:t>
      </w:r>
    </w:p>
    <w:p>
      <w:pPr>
        <w:ind w:firstLine="480" w:firstLineChars="200"/>
        <w:rPr>
          <w:rFonts w:hAnsi="宋体" w:cs="Arial"/>
        </w:rPr>
      </w:pPr>
      <w:r>
        <w:rPr>
          <w:rFonts w:hint="eastAsia" w:hAnsi="宋体" w:cs="Arial"/>
        </w:rPr>
        <w:t>（4）应对运维过程中涉及的各类文档进行分类管理，可按照制度文档、技术文档、合同文档、资产文档、审批记录和日志记录等进行分类，并统一保存。</w:t>
      </w:r>
    </w:p>
    <w:p>
      <w:pPr>
        <w:pStyle w:val="6"/>
        <w:numPr>
          <w:ilvl w:val="3"/>
          <w:numId w:val="72"/>
        </w:numPr>
        <w:rPr>
          <w:color w:val="auto"/>
        </w:rPr>
      </w:pPr>
      <w:r>
        <w:rPr>
          <w:rFonts w:hint="eastAsia"/>
          <w:color w:val="auto"/>
        </w:rPr>
        <w:t>综合管理内容（项号7）</w:t>
      </w:r>
    </w:p>
    <w:p>
      <w:pPr>
        <w:pStyle w:val="7"/>
        <w:numPr>
          <w:ilvl w:val="4"/>
          <w:numId w:val="72"/>
        </w:numPr>
      </w:pPr>
      <w:r>
        <w:rPr>
          <w:rFonts w:hint="eastAsia"/>
        </w:rPr>
        <w:t>供应商管理和考核</w:t>
      </w:r>
    </w:p>
    <w:p>
      <w:pPr>
        <w:ind w:firstLine="480" w:firstLineChars="200"/>
        <w:rPr>
          <w:rFonts w:hAnsi="宋体" w:cs="Arial"/>
        </w:rPr>
      </w:pPr>
      <w:r>
        <w:rPr>
          <w:rFonts w:hint="eastAsia" w:hAnsi="宋体" w:cs="Arial"/>
        </w:rPr>
        <w:t>中标方应根据数字福建云计算中心（政务云）管理方提供的基础设施设备供应商合同整理形成年度合格供应商目录，并协助业主单位监督、管理供应商按照合同条款提供相应服务。</w:t>
      </w:r>
    </w:p>
    <w:p>
      <w:pPr>
        <w:ind w:firstLine="480" w:firstLineChars="200"/>
        <w:rPr>
          <w:rFonts w:hAnsi="宋体" w:cs="Arial"/>
        </w:rPr>
      </w:pPr>
      <w:r>
        <w:rPr>
          <w:rFonts w:hint="eastAsia" w:hAnsi="宋体" w:cs="Arial"/>
        </w:rPr>
        <w:t>中标方还应对供应商服务行为进行记录并向业主单位提供考核建议，在此基础上维护、更新年度合格供应商目录。</w:t>
      </w:r>
    </w:p>
    <w:p>
      <w:pPr>
        <w:pStyle w:val="7"/>
        <w:numPr>
          <w:ilvl w:val="4"/>
          <w:numId w:val="72"/>
        </w:numPr>
      </w:pPr>
      <w:r>
        <w:rPr>
          <w:rFonts w:hint="eastAsia"/>
        </w:rPr>
        <w:t>容量管理及布局规划</w:t>
      </w:r>
    </w:p>
    <w:p>
      <w:pPr>
        <w:ind w:firstLine="480" w:firstLineChars="200"/>
        <w:rPr>
          <w:rFonts w:hAnsi="宋体" w:cs="Arial"/>
        </w:rPr>
      </w:pPr>
      <w:r>
        <w:rPr>
          <w:rFonts w:hint="eastAsia" w:hAnsi="宋体" w:cs="Arial"/>
        </w:rPr>
        <w:t>中标方应根据数字福建云计算中心（政务云）供配电、制冷和空间情况建立数字福建云计算中心（政务云）基础设施容量管理库清单，并根据实际情况及时维护、更新。</w:t>
      </w:r>
    </w:p>
    <w:p>
      <w:pPr>
        <w:ind w:firstLine="480" w:firstLineChars="200"/>
        <w:rPr>
          <w:rFonts w:hAnsi="宋体" w:cs="Arial"/>
        </w:rPr>
      </w:pPr>
      <w:r>
        <w:rPr>
          <w:rFonts w:hint="eastAsia" w:hAnsi="宋体" w:cs="Arial"/>
        </w:rPr>
        <w:t>在业主单位新增或调整IT设备、机柜时，中标方应根据容量管理数据提供布局规划建议方案。</w:t>
      </w:r>
    </w:p>
    <w:p>
      <w:pPr>
        <w:pStyle w:val="7"/>
        <w:numPr>
          <w:ilvl w:val="4"/>
          <w:numId w:val="72"/>
        </w:numPr>
      </w:pPr>
      <w:r>
        <w:rPr>
          <w:rFonts w:hint="eastAsia"/>
        </w:rPr>
        <w:t>资产（配置）管理</w:t>
      </w:r>
    </w:p>
    <w:p>
      <w:pPr>
        <w:ind w:firstLine="480" w:firstLineChars="200"/>
        <w:rPr>
          <w:rFonts w:hAnsi="宋体" w:cs="Arial"/>
        </w:rPr>
      </w:pPr>
      <w:r>
        <w:rPr>
          <w:rFonts w:hint="eastAsia" w:hAnsi="宋体" w:cs="Arial"/>
        </w:rPr>
        <w:t>中标方应根据数字福建云计算中心（政务云）基础设施设备情况建立设备资产（配置）库清单，并更新资产管理系统同时根据实际情况进行资产维护。</w:t>
      </w:r>
    </w:p>
    <w:p>
      <w:pPr>
        <w:pStyle w:val="7"/>
        <w:numPr>
          <w:ilvl w:val="4"/>
          <w:numId w:val="72"/>
        </w:numPr>
      </w:pPr>
      <w:r>
        <w:rPr>
          <w:rFonts w:hint="eastAsia"/>
        </w:rPr>
        <w:t>变更管理</w:t>
      </w:r>
    </w:p>
    <w:p>
      <w:pPr>
        <w:ind w:firstLine="480" w:firstLineChars="200"/>
        <w:rPr>
          <w:rFonts w:hAnsi="宋体" w:cs="Arial"/>
        </w:rPr>
      </w:pPr>
      <w:r>
        <w:rPr>
          <w:rFonts w:hint="eastAsia" w:hAnsi="宋体" w:cs="Arial"/>
        </w:rPr>
        <w:t>中标方应对项目运维管理过程中需要进行的变更活动建立变更管理流程，对所有变更申请进行风险评估、审批（重要变更还须经业主单位审批同意），所有变更必须在审批通过后方能执行。</w:t>
      </w:r>
    </w:p>
    <w:p>
      <w:pPr>
        <w:pStyle w:val="7"/>
        <w:numPr>
          <w:ilvl w:val="4"/>
          <w:numId w:val="72"/>
        </w:numPr>
      </w:pPr>
      <w:r>
        <w:rPr>
          <w:rFonts w:hint="eastAsia"/>
        </w:rPr>
        <w:t>绿色数据中心管理</w:t>
      </w:r>
    </w:p>
    <w:p>
      <w:pPr>
        <w:ind w:firstLine="480" w:firstLineChars="200"/>
        <w:rPr>
          <w:rFonts w:hAnsi="宋体" w:cs="Arial"/>
        </w:rPr>
      </w:pPr>
      <w:r>
        <w:rPr>
          <w:rFonts w:hint="eastAsia" w:hAnsi="宋体" w:cs="Arial"/>
        </w:rPr>
        <w:t>数据中心基础运维团队在确保信息系统及其支撑设备安全运行的条件下,最大限度地节约资源并保护环境，在取得最大化的资源效率的同时造成最小化的环境影响，最低要求需满足当地政府节能降耗相关政策标准。</w:t>
      </w:r>
    </w:p>
    <w:p>
      <w:pPr>
        <w:pStyle w:val="135"/>
        <w:ind w:left="480" w:leftChars="200" w:firstLine="0" w:firstLineChars="0"/>
        <w:rPr>
          <w:rFonts w:hAnsi="宋体" w:cs="Arial"/>
          <w:b/>
          <w:bCs/>
        </w:rPr>
      </w:pPr>
      <w:r>
        <w:rPr>
          <w:rFonts w:hint="eastAsia" w:hAnsi="宋体" w:cs="Arial"/>
          <w:b/>
          <w:bCs/>
        </w:rPr>
        <w:t>1、能耗分析及运行优化</w:t>
      </w:r>
    </w:p>
    <w:p>
      <w:pPr>
        <w:ind w:firstLine="480" w:firstLineChars="200"/>
        <w:rPr>
          <w:rFonts w:hAnsi="宋体" w:cs="Arial"/>
        </w:rPr>
      </w:pPr>
      <w:r>
        <w:rPr>
          <w:rFonts w:hint="eastAsia" w:hAnsi="宋体" w:cs="Arial"/>
        </w:rPr>
        <w:t>中标方应合理制定数字福建云计算中心（政务云）能耗管理制度，每月定期采集、整理数据后对数据中心能耗进行分析，并根据能耗分析结果对数据中心基础设施设备运行方案进行优化、调整，确保数字福建云计算中心（政务云）能耗指标运行在合理区间。</w:t>
      </w:r>
    </w:p>
    <w:p>
      <w:pPr>
        <w:ind w:firstLine="482" w:firstLineChars="200"/>
        <w:rPr>
          <w:rFonts w:hAnsi="宋体" w:cs="Arial"/>
          <w:b/>
          <w:bCs/>
        </w:rPr>
      </w:pPr>
      <w:r>
        <w:rPr>
          <w:rFonts w:hint="eastAsia" w:hAnsi="宋体" w:cs="Arial"/>
          <w:b/>
          <w:bCs/>
        </w:rPr>
        <w:t>2、绿色数据中心运维和改造</w:t>
      </w:r>
    </w:p>
    <w:p>
      <w:pPr>
        <w:ind w:firstLine="480" w:firstLineChars="200"/>
        <w:rPr>
          <w:rFonts w:hAnsi="宋体" w:cs="Arial"/>
        </w:rPr>
      </w:pPr>
      <w:r>
        <w:rPr>
          <w:rFonts w:hint="eastAsia" w:hAnsi="宋体" w:cs="Arial"/>
        </w:rPr>
        <w:t>中标方应了解国内外数据中心节能最新科技成果、发展趋势、成功案例等，熟悉当地政府数据中心相关用能政策，并在运维期内结合云计算中心实际情况编制提交《数据中心绿色运维和改造建议书》包括但不限于以下内容：</w:t>
      </w:r>
    </w:p>
    <w:p>
      <w:pPr>
        <w:ind w:firstLine="480" w:firstLineChars="200"/>
        <w:rPr>
          <w:rFonts w:hAnsi="宋体" w:cs="Arial"/>
        </w:rPr>
      </w:pPr>
      <w:r>
        <w:rPr>
          <w:rFonts w:hint="eastAsia" w:hAnsi="宋体" w:cs="Arial"/>
        </w:rPr>
        <w:t>（1）云计算中心绿色运维管理制度，明确节能、节水、资源综合利用等方面发展目标，制定空调、供电、照明等系统节能措施，制定节水措施，制定资源综合利用措施等，制定相应工作计划和考核办法等。</w:t>
      </w:r>
    </w:p>
    <w:p>
      <w:pPr>
        <w:ind w:firstLine="480" w:firstLineChars="200"/>
        <w:rPr>
          <w:rFonts w:hAnsi="宋体" w:cs="Arial"/>
        </w:rPr>
      </w:pPr>
      <w:r>
        <w:rPr>
          <w:rFonts w:hint="eastAsia" w:hAnsi="宋体" w:cs="Arial"/>
        </w:rPr>
        <w:t>（2）云计算中心节能与绿色化改造建议，在设备布局、制冷架构、外围护结构（密封、遮阳、保温等）、供配电方式、单机柜功率密度以及各系统的智能运行策略等方面提出技术改造和优化升级建议。</w:t>
      </w:r>
    </w:p>
    <w:p>
      <w:pPr>
        <w:ind w:firstLine="480" w:firstLineChars="200"/>
        <w:rPr>
          <w:rFonts w:hAnsi="宋体" w:cs="Arial"/>
        </w:rPr>
      </w:pPr>
      <w:r>
        <w:rPr>
          <w:rFonts w:hint="eastAsia" w:hAnsi="宋体" w:cs="Arial"/>
        </w:rPr>
        <w:t>（3）云计算中心其他改造建议，结合数据中心的实际运行情况，分析提出数据中心其他方面的技术改造和优化升级建议。</w:t>
      </w:r>
    </w:p>
    <w:p>
      <w:pPr>
        <w:pStyle w:val="7"/>
        <w:numPr>
          <w:ilvl w:val="4"/>
          <w:numId w:val="72"/>
        </w:numPr>
      </w:pPr>
      <w:r>
        <w:rPr>
          <w:rFonts w:hint="eastAsia"/>
        </w:rPr>
        <w:t>网络管理</w:t>
      </w:r>
    </w:p>
    <w:p>
      <w:pPr>
        <w:ind w:firstLine="480" w:firstLineChars="200"/>
        <w:rPr>
          <w:rFonts w:hAnsi="宋体" w:cs="Arial"/>
        </w:rPr>
      </w:pPr>
      <w:r>
        <w:rPr>
          <w:rFonts w:hint="eastAsia" w:hAnsi="宋体" w:cs="Arial"/>
        </w:rPr>
        <w:t>因为云计算中心的特殊情况，基础设施运维团队需要兼为负责机房大楼网络管理工作，所以拟于技术保障团队内设置网络管理小组，该小组规划3人，其中网络主管1人，网络工程师2人。负责IP网络资源规划，机房大楼相关网络设施管理，分配，日常维护，以及客户的网络交付工作，以及机房大楼外部和机房内部视频监控系统的相关视频网络维护工作。</w:t>
      </w:r>
    </w:p>
    <w:p>
      <w:pPr>
        <w:pStyle w:val="7"/>
        <w:numPr>
          <w:ilvl w:val="4"/>
          <w:numId w:val="72"/>
        </w:numPr>
      </w:pPr>
      <w:r>
        <w:rPr>
          <w:rFonts w:hint="eastAsia"/>
        </w:rPr>
        <w:t>场地和人员参观管理</w:t>
      </w:r>
    </w:p>
    <w:p>
      <w:pPr>
        <w:ind w:firstLine="480" w:firstLineChars="200"/>
        <w:rPr>
          <w:rFonts w:hAnsi="宋体" w:cs="Arial"/>
        </w:rPr>
      </w:pPr>
      <w:r>
        <w:rPr>
          <w:rFonts w:hint="eastAsia" w:hAnsi="宋体" w:cs="Arial"/>
        </w:rPr>
        <w:t>中标方应做好机房的随工管理以及配合其他服务商有关设备上架、综合布线等工作，配合甲方做好外来人员参观接待工作，需要的时候提供现场讲解服务。</w:t>
      </w:r>
    </w:p>
    <w:p>
      <w:pPr>
        <w:pStyle w:val="7"/>
        <w:numPr>
          <w:ilvl w:val="4"/>
          <w:numId w:val="72"/>
        </w:numPr>
      </w:pPr>
      <w:r>
        <w:rPr>
          <w:rFonts w:hint="eastAsia"/>
        </w:rPr>
        <w:t>其他</w:t>
      </w:r>
    </w:p>
    <w:p>
      <w:pPr>
        <w:ind w:firstLine="480" w:firstLineChars="200"/>
        <w:rPr>
          <w:rFonts w:hAnsi="宋体" w:cs="Arial"/>
        </w:rPr>
      </w:pPr>
      <w:r>
        <w:rPr>
          <w:rFonts w:hint="eastAsia" w:hAnsi="宋体" w:cs="Arial"/>
        </w:rPr>
        <w:t>日常运维管理还需完成运维体系要求内的其他各项事务性工作，包括但不限于以下内容：</w:t>
      </w:r>
    </w:p>
    <w:p>
      <w:pPr>
        <w:ind w:firstLine="480" w:firstLineChars="200"/>
        <w:rPr>
          <w:rFonts w:hAnsi="宋体" w:cs="Arial"/>
        </w:rPr>
      </w:pPr>
      <w:r>
        <w:rPr>
          <w:rFonts w:hint="eastAsia" w:hAnsi="宋体" w:cs="Arial"/>
        </w:rPr>
        <w:t>（1）运维认证工作管理</w:t>
      </w:r>
    </w:p>
    <w:p>
      <w:pPr>
        <w:ind w:firstLine="480" w:firstLineChars="200"/>
        <w:rPr>
          <w:rFonts w:hAnsi="宋体" w:cs="Arial"/>
        </w:rPr>
      </w:pPr>
      <w:r>
        <w:rPr>
          <w:rFonts w:hint="eastAsia" w:hAnsi="宋体" w:cs="Arial"/>
        </w:rPr>
        <w:t>（2）技术文档与技术合同管理</w:t>
      </w:r>
    </w:p>
    <w:p>
      <w:pPr>
        <w:ind w:firstLine="480" w:firstLineChars="200"/>
        <w:rPr>
          <w:rFonts w:hAnsi="宋体" w:cs="Arial"/>
        </w:rPr>
      </w:pPr>
      <w:r>
        <w:rPr>
          <w:rFonts w:hint="eastAsia" w:hAnsi="宋体" w:cs="Arial"/>
        </w:rPr>
        <w:t>（3）服务级别管理</w:t>
      </w:r>
    </w:p>
    <w:p>
      <w:pPr>
        <w:ind w:firstLine="480" w:firstLineChars="200"/>
        <w:rPr>
          <w:rFonts w:hAnsi="宋体" w:cs="Arial"/>
        </w:rPr>
      </w:pPr>
      <w:r>
        <w:rPr>
          <w:rFonts w:hint="eastAsia" w:hAnsi="宋体" w:cs="Arial"/>
        </w:rPr>
        <w:t>（4）风险管理体系建设与风险管理</w:t>
      </w:r>
    </w:p>
    <w:p>
      <w:pPr>
        <w:ind w:firstLine="480" w:firstLineChars="200"/>
        <w:rPr>
          <w:rFonts w:hAnsi="宋体" w:cs="Arial"/>
        </w:rPr>
      </w:pPr>
      <w:r>
        <w:rPr>
          <w:rFonts w:hint="eastAsia" w:hAnsi="宋体" w:cs="Arial"/>
        </w:rPr>
        <w:t>（5）业务连续性管理</w:t>
      </w:r>
    </w:p>
    <w:p>
      <w:pPr>
        <w:ind w:firstLine="480" w:firstLineChars="200"/>
        <w:rPr>
          <w:rFonts w:hAnsi="宋体" w:cs="Arial"/>
        </w:rPr>
      </w:pPr>
      <w:r>
        <w:rPr>
          <w:rFonts w:hint="eastAsia" w:hAnsi="宋体" w:cs="Arial"/>
        </w:rPr>
        <w:t>（6）人员资质与证书管理</w:t>
      </w:r>
    </w:p>
    <w:p>
      <w:pPr>
        <w:ind w:firstLine="480" w:firstLineChars="200"/>
        <w:rPr>
          <w:rFonts w:hAnsi="宋体" w:cs="Arial"/>
        </w:rPr>
      </w:pPr>
      <w:r>
        <w:rPr>
          <w:rFonts w:hint="eastAsia" w:hAnsi="宋体" w:cs="Arial"/>
        </w:rPr>
        <w:t>（7）技术培训管理</w:t>
      </w:r>
    </w:p>
    <w:p>
      <w:pPr>
        <w:pStyle w:val="4"/>
        <w:numPr>
          <w:ilvl w:val="1"/>
          <w:numId w:val="72"/>
        </w:numPr>
      </w:pPr>
      <w:r>
        <w:rPr>
          <w:rFonts w:hint="eastAsia"/>
        </w:rPr>
        <w:tab/>
      </w:r>
      <w:bookmarkStart w:id="114" w:name="_Toc21894"/>
      <w:r>
        <w:rPr>
          <w:rFonts w:hint="eastAsia"/>
        </w:rPr>
        <w:t>运维技术服务及相关备件耗材要求</w:t>
      </w:r>
      <w:bookmarkEnd w:id="114"/>
    </w:p>
    <w:p>
      <w:pPr>
        <w:pStyle w:val="5"/>
        <w:numPr>
          <w:ilvl w:val="2"/>
          <w:numId w:val="72"/>
        </w:numPr>
      </w:pPr>
      <w:bookmarkStart w:id="115" w:name="_Toc7202"/>
      <w:r>
        <w:rPr>
          <w:rFonts w:hint="eastAsia"/>
        </w:rPr>
        <w:t>维修维护服务要求</w:t>
      </w:r>
      <w:bookmarkEnd w:id="115"/>
    </w:p>
    <w:p>
      <w:pPr>
        <w:pStyle w:val="6"/>
        <w:numPr>
          <w:ilvl w:val="3"/>
          <w:numId w:val="72"/>
        </w:numPr>
        <w:rPr>
          <w:color w:val="auto"/>
        </w:rPr>
      </w:pPr>
      <w:r>
        <w:rPr>
          <w:rFonts w:hint="eastAsia"/>
          <w:color w:val="auto"/>
        </w:rPr>
        <w:t>机柜维修维护要求（项号8）</w:t>
      </w:r>
    </w:p>
    <w:p>
      <w:pPr>
        <w:pStyle w:val="11"/>
        <w:numPr>
          <w:ilvl w:val="8"/>
          <w:numId w:val="72"/>
        </w:numPr>
      </w:pPr>
      <w:bookmarkStart w:id="116" w:name="_Toc165045309"/>
      <w:r>
        <w:rPr>
          <w:rFonts w:hint="eastAsia"/>
        </w:rPr>
        <w:t>(品目2-1)机柜维修维护服务</w:t>
      </w:r>
      <w:bookmarkEnd w:id="116"/>
    </w:p>
    <w:tbl>
      <w:tblPr>
        <w:tblStyle w:val="75"/>
        <w:tblW w:w="9049" w:type="dxa"/>
        <w:tblInd w:w="0" w:type="dxa"/>
        <w:tblLayout w:type="autofit"/>
        <w:tblCellMar>
          <w:top w:w="0" w:type="dxa"/>
          <w:left w:w="108" w:type="dxa"/>
          <w:bottom w:w="0" w:type="dxa"/>
          <w:right w:w="108" w:type="dxa"/>
        </w:tblCellMar>
      </w:tblPr>
      <w:tblGrid>
        <w:gridCol w:w="1040"/>
        <w:gridCol w:w="1347"/>
        <w:gridCol w:w="3260"/>
        <w:gridCol w:w="760"/>
        <w:gridCol w:w="760"/>
        <w:gridCol w:w="1882"/>
      </w:tblGrid>
      <w:tr>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维修维护服务内容及要求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82"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2-1-1</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常规机柜维修维护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服务器机柜、冷通道、PDU等日常的巡查、检修及维护，以及新设备上架的协助配合工作</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82"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2-1-2</w:t>
            </w:r>
          </w:p>
        </w:tc>
        <w:tc>
          <w:tcPr>
            <w:tcW w:w="1347"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微模块机柜维修维护</w:t>
            </w:r>
          </w:p>
        </w:tc>
        <w:tc>
          <w:tcPr>
            <w:tcW w:w="32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服务器机柜、冷通道、功率模块等日常的巡查、检修及维护，以及新设备上架的协助配合工作</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82"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通风空调系统维修维护要求（项号9）</w:t>
      </w:r>
    </w:p>
    <w:p>
      <w:pPr>
        <w:pStyle w:val="11"/>
        <w:numPr>
          <w:ilvl w:val="8"/>
          <w:numId w:val="72"/>
        </w:numPr>
      </w:pPr>
      <w:bookmarkStart w:id="117" w:name="_Toc165045310"/>
      <w:r>
        <w:rPr>
          <w:rFonts w:hint="eastAsia"/>
        </w:rPr>
        <w:t>(品目2-2)通风空调系统设备维修维护服务</w:t>
      </w:r>
      <w:bookmarkEnd w:id="117"/>
    </w:p>
    <w:tbl>
      <w:tblPr>
        <w:tblStyle w:val="75"/>
        <w:tblW w:w="9007" w:type="dxa"/>
        <w:tblInd w:w="0" w:type="dxa"/>
        <w:tblLayout w:type="autofit"/>
        <w:tblCellMar>
          <w:top w:w="0" w:type="dxa"/>
          <w:left w:w="108" w:type="dxa"/>
          <w:bottom w:w="0" w:type="dxa"/>
          <w:right w:w="108" w:type="dxa"/>
        </w:tblCellMar>
      </w:tblPr>
      <w:tblGrid>
        <w:gridCol w:w="1040"/>
        <w:gridCol w:w="1347"/>
        <w:gridCol w:w="3260"/>
        <w:gridCol w:w="760"/>
        <w:gridCol w:w="760"/>
        <w:gridCol w:w="1840"/>
      </w:tblGrid>
      <w:tr>
        <w:tblPrEx>
          <w:tblCellMar>
            <w:top w:w="0" w:type="dxa"/>
            <w:left w:w="108" w:type="dxa"/>
            <w:bottom w:w="0" w:type="dxa"/>
            <w:right w:w="108" w:type="dxa"/>
          </w:tblCellMar>
        </w:tblPrEx>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维修维护服务内容及要求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冷冻水机组维修维护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双级压缩离心式冷冻水机组维修维护，更换冷冻油，油过滤器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螺杆式冷冻水机组维修维护，更换冷冻油，油过滤器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冷冻水机组的水处理，除垢剂，除锈剂，缓蚀剂等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2-2-2</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冷却塔维修维护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低噪音方型全钢逆流冷却塔维修维护，除垢剂，除锈剂，缓蚀剂等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2-2-3</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冷却水泵维修维护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冷却水泵卧式端吸泵维修维护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冷冻水泵卧式端吸泵维修维护，电机加润滑油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2-2-4</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蓄冷罐维修维护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保温、阀门维护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个</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2-2-5</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恒温恒湿空调机组维修维护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更换过滤网、清洗水过滤器、清洗室外机</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2-2-6</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加湿器维修维护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清洗加湿器、过滤网、过滤器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20</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2-2-7</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普通风柜维修维护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普通风柜维修维护（品牌型号：顿汉布什KFP系列的KFPL20B-6与KFPL35B-6），更换过滤网、清洗水过滤器、清洗室内机</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16</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2-2-8</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新风处理机组维修维护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新风处理机组维修维护（品牌型号：顿汉布什DMA系列），更换过滤网、清洗水过滤器、清洗室内机</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2-2-9</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水管、阀门、风管、风阀、风口的维修维护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处理保温、维修、防锈刷漆等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2-2-10</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办公及新风冷源系统维修维护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办公及新风冷源系统(品牌型号：ACDSH65HG 2台、ACDSH130HG4台)，清洗过滤网、室外机、清洗室内机过滤网</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2-2-11</w:t>
            </w:r>
          </w:p>
        </w:tc>
        <w:tc>
          <w:tcPr>
            <w:tcW w:w="1347"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制冷系统运行及自控系统维修维护</w:t>
            </w:r>
          </w:p>
        </w:tc>
        <w:tc>
          <w:tcPr>
            <w:tcW w:w="32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制冷系统运行及自控系统定期检修</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套</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电气系统维修维护要求（项号10）</w:t>
      </w:r>
    </w:p>
    <w:p>
      <w:pPr>
        <w:pStyle w:val="11"/>
        <w:numPr>
          <w:ilvl w:val="8"/>
          <w:numId w:val="72"/>
        </w:numPr>
      </w:pPr>
      <w:bookmarkStart w:id="118" w:name="_Toc165045311"/>
      <w:r>
        <w:rPr>
          <w:rFonts w:hint="eastAsia"/>
        </w:rPr>
        <w:t>(品目2-3)电气系统设备维修维护服务</w:t>
      </w:r>
      <w:bookmarkEnd w:id="118"/>
    </w:p>
    <w:tbl>
      <w:tblPr>
        <w:tblStyle w:val="75"/>
        <w:tblW w:w="9007" w:type="dxa"/>
        <w:tblInd w:w="0" w:type="dxa"/>
        <w:tblLayout w:type="autofit"/>
        <w:tblCellMar>
          <w:top w:w="0" w:type="dxa"/>
          <w:left w:w="108" w:type="dxa"/>
          <w:bottom w:w="0" w:type="dxa"/>
          <w:right w:w="108" w:type="dxa"/>
        </w:tblCellMar>
      </w:tblPr>
      <w:tblGrid>
        <w:gridCol w:w="1040"/>
        <w:gridCol w:w="1347"/>
        <w:gridCol w:w="3260"/>
        <w:gridCol w:w="760"/>
        <w:gridCol w:w="760"/>
        <w:gridCol w:w="1840"/>
      </w:tblGrid>
      <w:tr>
        <w:tblPrEx>
          <w:tblCellMar>
            <w:top w:w="0" w:type="dxa"/>
            <w:left w:w="108" w:type="dxa"/>
            <w:bottom w:w="0" w:type="dxa"/>
            <w:right w:w="108" w:type="dxa"/>
          </w:tblCellMar>
        </w:tblPrEx>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维修维护服务内容及要求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2-3-1</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高压柜维修维护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柜体及断路器检修：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1、柜内设备清扫；</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2、带电指示器检查；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3、操作机构检查；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4、五防闭锁机构检查；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5、动触头检查并涂导电膏；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6、接线检查紧固保护装置检查：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1)保护装置检查；2)卫生清扫、回路检查、端子紧固，电缆槽盒松脱修复；3)定值核对；4)开关整体传动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常规检查维护，不做试验检测。根据数据中心设备上架率制定检测计划，上架率较高的设备进行全检</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2-3-2</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变压器维修维护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1、外部清扫检查且各螺丝紧固；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2、温度计检查.报警指示器检查；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3、高低压侧各接头检查处理；</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4、冷却风机及电气回路检修、试转；</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5、母线夹件及绝缘支撑件等检查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常规检查维护，不做试验检测。根据数据中心设备上架率制定检测计划，上架率较高的设备进行全检</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000000"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2-3-3</w:t>
            </w:r>
          </w:p>
        </w:tc>
        <w:tc>
          <w:tcPr>
            <w:tcW w:w="134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低压配电柜维修维护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380V配电柜：</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1、开关柜清扫、接头检查、螺栓紧固，开关柜内接线紧固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2、母线夹件及绝缘支撑件等检查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3、电压互感器、电流互感器检查、接线紧固4、测试母线绝缘</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5、开关柜接地母线检查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6、柜门变形检查、柜门锁检查修复</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7、开关柜封堵检查修复</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低压配电柜6段，UPS输入输出柜4段，按常规检查维护。常规检查维护，不做试验检测。根据数据中心设备上架率制定检测计划，上架率较高的设备进行全检</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框架式断路器：</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1、断路器本体清扫、检查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2、抽屉架清扫、检修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3、断路器进出机构、闭锁机构检查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4、断路器控制单元检查、接线检查紧固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5、380V</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抽屉开关：</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1、抽屉清扫、接线紧固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2、空气断路器检查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3、抽屉操作机构检修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4、抽屉一次、二次触头检查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5、智能仪表检查核对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电容补偿柜：</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1、检查TSC无功补偿柜控制装置运行正常</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2、检查补偿柜内声音是否正常</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3、检查绝缘子的清洁及绝缘情况、接地连接情况。</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4、检查各电气连接部位有无发热、变色现象，母线各处有无烧伤过热现象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5、检查电容器、电抗器各接线端子是否牢固、可靠</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6、检查电容器、电抗器有无发热、变色、变形现象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7、检查电容器是否有击穿现象，电抗器绝缘皮有无破损现象，如有要进行适当处理</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8、检查断路器、晶闸管、避雷器、接线等设备完好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9、检查通风装置良好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10、清扫柜内卫生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000000"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2-3-4</w:t>
            </w:r>
          </w:p>
        </w:tc>
        <w:tc>
          <w:tcPr>
            <w:tcW w:w="134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微模块UPS维修维护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1、散热风扇运转是否良好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2、讯号线连是否良好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3、导线连结是否良好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4、UPS(AVR)内部机械组件是否异常</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5、UPS(AVR)内部零件是否变质</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6、零组件与机械组件是否异常发热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7、UPS(AVR)运转时噪音是否过大</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8、检查所有电路板的连接是否需要清洁，如果必要需擦洗干净；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9、检查所有接线是否有过热的迹象；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10、检查所有组件，整流桥和电路是否有损坏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11、检查所有电容是否有漏液、鼓包的迹象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12、直流对地绝缘情况</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13、控制电源电压和波形</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14、直流充电电压(浮充和均充)，设置值，调节使之准确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15、测量输入输出电压、电能质量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16、整机卫生清理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蓄电池：</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1、电池组总体外观检查(所有类型)</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2、清洁所有电池所处的环境</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3、检查各电池单元是否有变形过热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4、检查所有直流接线是否有异常松动、腐蚀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5、蓄电池内阻及温度测试</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000000"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2-3-5</w:t>
            </w:r>
          </w:p>
        </w:tc>
        <w:tc>
          <w:tcPr>
            <w:tcW w:w="134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传统机房UPS维修维护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1、散热风扇运转是否良好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2、讯号线连是否良好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3、导线连结是否良好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4、UPS(AVR)内部机械组件是否异常</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5、UPS(AVR)内部零件是否变质</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6、零组件与机械组件是否异常发热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7、UPS(AVR)运转时噪音是否过大</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8、检查所有电路板的连接是否需要清洁，如果必要需擦洗干净；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9、检查所有接线是否有过热的迹象；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10、检查所有组件，整流桥和电路是否有损坏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11、检查所有电容是否有漏液、鼓包的迹象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12、直流对地绝缘情况</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13、控制电源电压和波形</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14、直流充电电压(浮充和均充)，设置值，调节使之准确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15、测量输入输出电压、电能质量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16、整机卫生清理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蓄电池：</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1、电池组总体外观检查(所有类型)</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2、清洁所有电池所处的环境</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3、检查各电池单元是否有变形过热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4、检查所有直流接线是否有异常松动、腐蚀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5、蓄电池内阻及温度测试</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000000"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2-3-6</w:t>
            </w:r>
          </w:p>
        </w:tc>
        <w:tc>
          <w:tcPr>
            <w:tcW w:w="134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EPS维修维护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主机：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1、散热风扇运转是否良好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2、讯号线连是否良好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3、导线连结是否良好</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4、EPS(AVR)内部机械组件是否异常</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5、EPS(AVR)内部零件是否变质</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6、零组件与机械组件是否异常发热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7、EPS(AVR)运转时噪音是否过大</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8、检查所有电路板的连接是否需要清洁，如果必要需擦洗干净；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9、检查所有接线是否有过热的迹象；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10、检查所有组件，整流桥和电路是否有损坏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11、检查所有电容是否有漏液、鼓包的迹象</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12、直流对地绝缘情况</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13、控制电源电压和波形</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14、直流充电电压(浮充和均充)，设置值，调节使之准确</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15、测量输入输出电压、电能质量</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16、整机卫生清理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000000"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nil"/>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蓄电池：</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1、电池组总体外观检查(所有类型)</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2、清洁所有电池所处的环境</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3、检查各电池单元是否有变形过热</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4、检查所有直流接线是否有异常松动、腐蚀</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5、蓄电池内阻及温度测试</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nil"/>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2-3-7</w:t>
            </w:r>
          </w:p>
        </w:tc>
        <w:tc>
          <w:tcPr>
            <w:tcW w:w="1347"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高低压电缆线路巡查</w:t>
            </w:r>
          </w:p>
        </w:tc>
        <w:tc>
          <w:tcPr>
            <w:tcW w:w="3260" w:type="dxa"/>
            <w:tcBorders>
              <w:top w:val="single" w:color="auto" w:sz="4" w:space="0"/>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对机房涉及的高低压电缆线路进行日常的巡查和检修</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single" w:color="auto" w:sz="4" w:space="0"/>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智能化系统维修维护要求（项号11）</w:t>
      </w:r>
    </w:p>
    <w:p>
      <w:pPr>
        <w:pStyle w:val="11"/>
        <w:numPr>
          <w:ilvl w:val="8"/>
          <w:numId w:val="72"/>
        </w:numPr>
      </w:pPr>
      <w:bookmarkStart w:id="119" w:name="_Toc165045312"/>
      <w:r>
        <w:rPr>
          <w:rFonts w:hint="eastAsia"/>
        </w:rPr>
        <w:t>(品目2-4)智能化系统维修维护服务</w:t>
      </w:r>
      <w:bookmarkEnd w:id="119"/>
    </w:p>
    <w:tbl>
      <w:tblPr>
        <w:tblStyle w:val="75"/>
        <w:tblW w:w="9007" w:type="dxa"/>
        <w:tblInd w:w="0" w:type="dxa"/>
        <w:tblLayout w:type="autofit"/>
        <w:tblCellMar>
          <w:top w:w="0" w:type="dxa"/>
          <w:left w:w="108" w:type="dxa"/>
          <w:bottom w:w="0" w:type="dxa"/>
          <w:right w:w="108" w:type="dxa"/>
        </w:tblCellMar>
      </w:tblPr>
      <w:tblGrid>
        <w:gridCol w:w="1040"/>
        <w:gridCol w:w="1347"/>
        <w:gridCol w:w="3260"/>
        <w:gridCol w:w="760"/>
        <w:gridCol w:w="760"/>
        <w:gridCol w:w="1840"/>
      </w:tblGrid>
      <w:tr>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维修维护服务内容及要求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2-4-1</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门禁控制系统维修维护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2-4-2</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入侵报警系统维修维护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2-4-3</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机房KVM切换系统维修维护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2-4-4</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综合布线系统维修维护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2-4-5</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机房运维网络维修维护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2-4-6</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机房办公网络（包括大楼无线WIFI设备）维修维护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2-4-7</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机房运维中心大屏显示系统维修维护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2-4-8</w:t>
            </w:r>
          </w:p>
        </w:tc>
        <w:tc>
          <w:tcPr>
            <w:tcW w:w="1347"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DCIM场地监控维修维护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2-4-9</w:t>
            </w:r>
          </w:p>
        </w:tc>
        <w:tc>
          <w:tcPr>
            <w:tcW w:w="1347"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机房和大楼安防监控系统维修维护</w:t>
            </w:r>
          </w:p>
        </w:tc>
        <w:tc>
          <w:tcPr>
            <w:tcW w:w="32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日常的系统巡查、检测、维修及维护、监控系统更新</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ab/>
      </w:r>
      <w:r>
        <w:rPr>
          <w:rFonts w:hint="eastAsia"/>
          <w:color w:val="auto"/>
        </w:rPr>
        <w:t>消防系统维护要求（项号1</w:t>
      </w:r>
      <w:r>
        <w:rPr>
          <w:color w:val="auto"/>
        </w:rPr>
        <w:t>2</w:t>
      </w:r>
      <w:r>
        <w:rPr>
          <w:rFonts w:hint="eastAsia"/>
          <w:color w:val="auto"/>
        </w:rPr>
        <w:t>）</w:t>
      </w:r>
    </w:p>
    <w:p>
      <w:pPr>
        <w:ind w:firstLine="480" w:firstLineChars="200"/>
      </w:pPr>
      <w:r>
        <w:rPr>
          <w:rFonts w:hint="eastAsia" w:hAnsi="宋体" w:cs="Arial"/>
        </w:rPr>
        <w:t>中标方应对消防设备进行日常巡检维护，保证设备的可用性和完好性。</w:t>
      </w:r>
    </w:p>
    <w:p>
      <w:pPr>
        <w:pStyle w:val="11"/>
        <w:numPr>
          <w:ilvl w:val="8"/>
          <w:numId w:val="72"/>
        </w:numPr>
        <w:rPr>
          <w:rFonts w:cs="Arial"/>
        </w:rPr>
      </w:pPr>
      <w:bookmarkStart w:id="120" w:name="_Toc165045313"/>
      <w:r>
        <w:rPr>
          <w:rFonts w:hint="eastAsia"/>
        </w:rPr>
        <w:t>(品目2-5)消防系统维修维护服务</w:t>
      </w:r>
      <w:bookmarkEnd w:id="120"/>
    </w:p>
    <w:tbl>
      <w:tblPr>
        <w:tblStyle w:val="75"/>
        <w:tblW w:w="9007" w:type="dxa"/>
        <w:tblInd w:w="0" w:type="dxa"/>
        <w:tblLayout w:type="autofit"/>
        <w:tblCellMar>
          <w:top w:w="0" w:type="dxa"/>
          <w:left w:w="108" w:type="dxa"/>
          <w:bottom w:w="0" w:type="dxa"/>
          <w:right w:w="108" w:type="dxa"/>
        </w:tblCellMar>
      </w:tblPr>
      <w:tblGrid>
        <w:gridCol w:w="1040"/>
        <w:gridCol w:w="1347"/>
        <w:gridCol w:w="3260"/>
        <w:gridCol w:w="760"/>
        <w:gridCol w:w="760"/>
        <w:gridCol w:w="1840"/>
      </w:tblGrid>
      <w:tr>
        <w:tblPrEx>
          <w:tblCellMar>
            <w:top w:w="0" w:type="dxa"/>
            <w:left w:w="108" w:type="dxa"/>
            <w:bottom w:w="0" w:type="dxa"/>
            <w:right w:w="108" w:type="dxa"/>
          </w:tblCellMar>
        </w:tblPrEx>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维修维护服务内容及要求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2-5-1</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机房火灾自动报警系统维修维护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检查和维护电脑主机供电电源及线路管线</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检查和维护电脑主机备用电源是否处于正常工作状态</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维保期间负责清洗烟感探测器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检查和维护报警主机备用电源是否处于正常工作状态</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检查和维护各报警回路工作是否正常并检查回路各项指示值</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检查测试各个电路是否正常，并进行卫生清理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检查电脑主机各项功能是否正常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检查测试消防联动柜各项功能是否正常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检查测试各回路管线是否正常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检查通讯主机工作状态是否正常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检查控制、监视模块工作是否正常，更换故障模块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检查测试破玻按钮是否正常，更换故障设备</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检查测试消防电话是否正常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检查层号灯是否正常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2</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机房防排烟系统维修维护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检查各个控制柜的电源是否到位</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检查各个控制柜功能是否正常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检查各风机电机运转是否正常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检查排烟管道是否破损、锈蚀</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检查防火阀动作是否正常，阀体是否正常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检查排烟风机、防火阀联动功能是否正常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3</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机房消防联动控制系统维修维护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消防用电设备的动力线，控制线、报警信号传输线、接地线及设备零部件等是否处于安全无损状态（直观）</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检查所有的手动、自动转换开关是否正常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强切非消防电源功能的试验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检查备用电源是否正常充电。切断主电源，检查是否能自动转换备用电源</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检查控制启闭泵及接收信号的功能是否正常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疏散指示灯的检测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检查电梯迫降系统是否正常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4</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机房应急疏散指示灯维修维护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电源是否送电到位</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外观是否破损，如有则进行更换</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检测疏散指示灯各项功能是否正常，有故障的则进行更换</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测试疏散指示灯联动功能是否正常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5</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机房消防广播系统维修维护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检查广播设备是否完好无损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检查、测试事故广播紧急切换功能是否正常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检查各扬声器音量是否高于背景音乐，音质是否清晰</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6</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机房电气火灾监测系统维修维护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检查监控器的实时显示数据是否在正常范围内</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对现场监控器分批进行自检和漏电试验检查，应功能完好、动作正常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每年至少应对系统进行一次监控报警和故障报警记录的检查。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7</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机房消防电源监控系统维修维护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检查监控器的实时显示数据是否在正常范围内</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对现场监控器分批进行自检和缺相试验检查，应功能完好、动作正常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每年至少应对系统进行一次监控报警和故障报警记录的检查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8</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机房气体灭火系统维修维护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检查气体灭火储存装置间及现场设备的运行情况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检查气体灭火储存装置间设备及管道的完好情况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检查气体灭火储存装置间灭火剂瓶和动力瓶的压力情况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检查气体灭火储存装置间设备及管道的牢固情况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检查各喷嘴孔口应无堵塞</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定期分批进行一次模拟启动实验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2-5-</w:t>
            </w:r>
            <w:r>
              <w:rPr>
                <w:rFonts w:hAnsi="宋体" w:cs="宋体"/>
                <w:kern w:val="0"/>
                <w:sz w:val="21"/>
                <w:szCs w:val="21"/>
              </w:rPr>
              <w:t>9</w:t>
            </w:r>
          </w:p>
        </w:tc>
        <w:tc>
          <w:tcPr>
            <w:tcW w:w="1347"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机房消防器材（灭火器、半固定泡沫灭火装置等）维修维护</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检查半固定泡沫灭火装置的运行情况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检查半固定泡沫灭火装置外观及配件</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检查半固定泡沫灭火装置罐内泡沫液的质量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检查手提式干粉灭火器装置的压力情况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检查手提式干粉灭火器装置的瓶身外观是否有腐蚀破损</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每月至少应对手提式干粉灭火器装置进行一次检查，并作现场记录</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ind w:firstLine="480" w:firstLineChars="200"/>
        <w:rPr>
          <w:rFonts w:hAnsi="宋体" w:cs="Arial"/>
        </w:rPr>
      </w:pPr>
      <w:r>
        <w:rPr>
          <w:rFonts w:hint="eastAsia" w:hAnsi="宋体" w:cs="Arial"/>
        </w:rPr>
        <w:t>中标方还应负责对云计算中心所在大楼的火灾自动报警系统、自动喷淋系统、消防栓系统、防排烟系统、消防联动控制系统、应急疏散指示灯、消防广播系统、电气火灾监测系统、消防电源监控系统、气体灭火系统、消防器材（灭火器、半固定泡沫灭火装置等）等消防设施的维护保养工作。</w:t>
      </w:r>
    </w:p>
    <w:p>
      <w:pPr>
        <w:pStyle w:val="5"/>
        <w:numPr>
          <w:ilvl w:val="2"/>
          <w:numId w:val="72"/>
        </w:numPr>
      </w:pPr>
      <w:bookmarkStart w:id="121" w:name="_Toc15432"/>
      <w:r>
        <w:rPr>
          <w:rFonts w:hint="eastAsia"/>
        </w:rPr>
        <w:t>检测及测评服务要求</w:t>
      </w:r>
      <w:bookmarkEnd w:id="121"/>
    </w:p>
    <w:p>
      <w:pPr>
        <w:pStyle w:val="6"/>
        <w:numPr>
          <w:ilvl w:val="3"/>
          <w:numId w:val="72"/>
        </w:numPr>
        <w:rPr>
          <w:color w:val="auto"/>
        </w:rPr>
      </w:pPr>
      <w:r>
        <w:rPr>
          <w:rFonts w:hint="eastAsia"/>
          <w:color w:val="auto"/>
        </w:rPr>
        <w:t>防雷检测服务要求（项号1</w:t>
      </w:r>
      <w:r>
        <w:rPr>
          <w:color w:val="auto"/>
        </w:rPr>
        <w:t>3</w:t>
      </w:r>
      <w:r>
        <w:rPr>
          <w:rFonts w:hint="eastAsia"/>
          <w:color w:val="auto"/>
        </w:rPr>
        <w:t>）</w:t>
      </w:r>
    </w:p>
    <w:p>
      <w:pPr>
        <w:pStyle w:val="11"/>
        <w:numPr>
          <w:ilvl w:val="8"/>
          <w:numId w:val="72"/>
        </w:numPr>
      </w:pPr>
      <w:bookmarkStart w:id="122" w:name="_Toc165045314"/>
      <w:r>
        <w:rPr>
          <w:rFonts w:hint="eastAsia"/>
        </w:rPr>
        <w:t>(品目2-6)防雷检测服务</w:t>
      </w:r>
      <w:bookmarkEnd w:id="122"/>
    </w:p>
    <w:tbl>
      <w:tblPr>
        <w:tblStyle w:val="75"/>
        <w:tblW w:w="9007" w:type="dxa"/>
        <w:tblInd w:w="0" w:type="dxa"/>
        <w:tblLayout w:type="autofit"/>
        <w:tblCellMar>
          <w:top w:w="0" w:type="dxa"/>
          <w:left w:w="108" w:type="dxa"/>
          <w:bottom w:w="0" w:type="dxa"/>
          <w:right w:w="108" w:type="dxa"/>
        </w:tblCellMar>
      </w:tblPr>
      <w:tblGrid>
        <w:gridCol w:w="1040"/>
        <w:gridCol w:w="1347"/>
        <w:gridCol w:w="3260"/>
        <w:gridCol w:w="760"/>
        <w:gridCol w:w="760"/>
        <w:gridCol w:w="1840"/>
      </w:tblGrid>
      <w:tr>
        <w:tblPrEx>
          <w:tblCellMar>
            <w:top w:w="0" w:type="dxa"/>
            <w:left w:w="108" w:type="dxa"/>
            <w:bottom w:w="0" w:type="dxa"/>
            <w:right w:w="108" w:type="dxa"/>
          </w:tblCellMar>
        </w:tblPrEx>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347"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检测服务内容及要求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2-6-1</w:t>
            </w:r>
          </w:p>
        </w:tc>
        <w:tc>
          <w:tcPr>
            <w:tcW w:w="1347"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机房防雷检测</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接闪及下引线</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1、外观检查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2、电位连接及接地阻值测试等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电涌保护器常规测试</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1、外观检查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2、SPD的压敏电压、漏电流测试</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水塔（冷却塔）</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1、外观检查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2、电位连接及接地阻值测试等</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3、等电位连接导体的防腐措施及腐蚀度</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restart"/>
            <w:tcBorders>
              <w:top w:val="nil"/>
              <w:left w:val="double" w:color="auto" w:sz="6" w:space="0"/>
              <w:bottom w:val="double" w:color="000000"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2-6-2</w:t>
            </w:r>
          </w:p>
        </w:tc>
        <w:tc>
          <w:tcPr>
            <w:tcW w:w="1347"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配电及公共部分防雷点位检测</w:t>
            </w: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预留电气接地</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1、电气预留接地端子的接地电阻值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2、电气预留端子的防腐措施及腐蚀度</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电梯接地</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1、电梯机座或电梯电气预留端子的接地电阻值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2、电梯电气预留端子的防腐措施及腐蚀度</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接地装置（防雷、电源、通信、设备专用）</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1、接地连接线的接地电阻值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2、接地线的材料、规格、连接工艺</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3、接地干线的材料、规格、连接工艺</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金属旗杆接地</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1、外观检查</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2、电位连接及接地阻值测试等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静电接地体</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1、静电接地体的接地电阻值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2、静电夹导线的截面积及过渡电阻值</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1040" w:type="dxa"/>
            <w:vMerge w:val="continue"/>
            <w:tcBorders>
              <w:top w:val="nil"/>
              <w:left w:val="double" w:color="auto" w:sz="6"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1347" w:type="dxa"/>
            <w:vMerge w:val="continue"/>
            <w:tcBorders>
              <w:top w:val="nil"/>
              <w:left w:val="single" w:color="auto" w:sz="4" w:space="0"/>
              <w:bottom w:val="double" w:color="000000" w:sz="6" w:space="0"/>
              <w:right w:val="single" w:color="auto" w:sz="4" w:space="0"/>
            </w:tcBorders>
            <w:vAlign w:val="center"/>
          </w:tcPr>
          <w:p>
            <w:pPr>
              <w:widowControl/>
              <w:spacing w:line="360" w:lineRule="exact"/>
              <w:jc w:val="left"/>
              <w:rPr>
                <w:rFonts w:hAnsi="宋体" w:cs="宋体"/>
                <w:kern w:val="0"/>
                <w:sz w:val="21"/>
                <w:szCs w:val="21"/>
              </w:rPr>
            </w:pPr>
          </w:p>
        </w:tc>
        <w:tc>
          <w:tcPr>
            <w:tcW w:w="326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输油、输气管道</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1、管道连接口的跨接及过渡电阻值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2、输油、输气管道的弯头、阀门或法兰盘等接口的过渡电阻值</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3、法兰盘的防雷等电位连接</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color w:val="auto"/>
        </w:rPr>
        <w:t>消防检测服务要求（项号1</w:t>
      </w:r>
      <w:r>
        <w:rPr>
          <w:color w:val="auto"/>
        </w:rPr>
        <w:t>4</w:t>
      </w:r>
      <w:r>
        <w:rPr>
          <w:rFonts w:hint="eastAsia"/>
          <w:color w:val="auto"/>
        </w:rPr>
        <w:t>）</w:t>
      </w:r>
    </w:p>
    <w:p>
      <w:pPr>
        <w:ind w:firstLine="480" w:firstLineChars="200"/>
        <w:rPr>
          <w:rFonts w:hAnsi="宋体" w:cs="Arial"/>
        </w:rPr>
      </w:pPr>
      <w:r>
        <w:rPr>
          <w:rFonts w:hint="eastAsia"/>
        </w:rPr>
        <w:tab/>
      </w:r>
      <w:r>
        <w:rPr>
          <w:rFonts w:hint="eastAsia" w:hAnsi="宋体" w:cs="Arial"/>
        </w:rPr>
        <w:t>除日常的消防设备检测外，中标方还需配合甲方完成每年消防部门组织的消防评估检测，并出具具有消防检测资质的第三方检测报告，对检测出的问题应进行全面整改直至符合消防要求。</w:t>
      </w:r>
    </w:p>
    <w:p>
      <w:pPr>
        <w:pStyle w:val="11"/>
        <w:numPr>
          <w:ilvl w:val="8"/>
          <w:numId w:val="72"/>
        </w:numPr>
      </w:pPr>
      <w:bookmarkStart w:id="123" w:name="_Toc165045315"/>
      <w:r>
        <w:rPr>
          <w:rFonts w:hint="eastAsia"/>
        </w:rPr>
        <w:t>(品目2-7)消防检测服务</w:t>
      </w:r>
      <w:bookmarkEnd w:id="123"/>
    </w:p>
    <w:tbl>
      <w:tblPr>
        <w:tblStyle w:val="75"/>
        <w:tblW w:w="9020" w:type="dxa"/>
        <w:tblInd w:w="131" w:type="dxa"/>
        <w:tblLayout w:type="autofit"/>
        <w:tblCellMar>
          <w:top w:w="0" w:type="dxa"/>
          <w:left w:w="108" w:type="dxa"/>
          <w:bottom w:w="0" w:type="dxa"/>
          <w:right w:w="108" w:type="dxa"/>
        </w:tblCellMar>
      </w:tblPr>
      <w:tblGrid>
        <w:gridCol w:w="1040"/>
        <w:gridCol w:w="1420"/>
        <w:gridCol w:w="3200"/>
        <w:gridCol w:w="760"/>
        <w:gridCol w:w="760"/>
        <w:gridCol w:w="1840"/>
      </w:tblGrid>
      <w:tr>
        <w:tblPrEx>
          <w:tblCellMar>
            <w:top w:w="0" w:type="dxa"/>
            <w:left w:w="108" w:type="dxa"/>
            <w:bottom w:w="0" w:type="dxa"/>
            <w:right w:w="108" w:type="dxa"/>
          </w:tblCellMar>
        </w:tblPrEx>
        <w:trPr>
          <w:trHeight w:val="280" w:hRule="atLeast"/>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42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检测服务内容及要求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2-7-1</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火灾自动报警和消防联动控制系统检测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1、火灾探测器外观检查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2、手动报警按钮外观检查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3、火灾报警控制器外观检查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4、区域显示盘外观检查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5、广播控制台外观检查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6、扬声器外观检查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系统布线检测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1、布线质量检测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2、系统绝缘电阻及接地电阻检测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3、导线截面积测量及计算检测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4、传输导线穿管保护检验检测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5、传输线路管路材料检验检测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系统安装检测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1、火灾探测器安装质量及尺寸测量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2、手动报警按钮安装质量及尺寸测量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3、控制器安装质量及尺寸测量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4、火灾区域显示器安装质量及尺寸测量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5、消防联动控制器安装质量及尺寸测量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6、火灾警报扬声器安装质量测量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7、消防广播控制台安装质量及尺寸测量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1、电源自动切换功能检验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2、主电源容量试验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3、备用电源容量试验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4、主电源负载稳定性检验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5、主电源电压稳定性检验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6、报警自检功能检验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7、故障报警功能检验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8、报警记忆功能检验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9、消音复位功能检验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10、火灾优先功能检验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11、探测器报警功能检验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12、手动报警按钮报警功能检验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13、民用建筑广播音响功能检验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14、工业建筑广播音响功能检验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15、火灾事故广播强行切换功能检验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16、选层广播功能检验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17、消防通讯功能检验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18、探测器清洗与功能检验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19、探测器与控制功能检验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20、消防控制设备功能检验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21、消防控制设备配电</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22、火灾显示盘功能检验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23、报警音响检验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24、消防电梯功能检验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25、火灾警报装置功能检验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26、二次报警功能检验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27、广播扩音机功能检验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28、总线隔离器功能检验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29、备用电充电功能检测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30、扬声器功能检测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2-7-2</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消防自动喷水灭火系统检测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1、消防水池及消防水箱容量测量及计算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2、水泵和稳压泵组件完整检查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3、气压给水装置组件完整检查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4、报警阀、雨淋阀、警铃</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5、水泵接合器、延迟器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6、供水总控制阀</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7、水流指示器</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8、系统管网的管材管件外观及组件完整性检查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9、配水支管及组件完整性检查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10、管路支管及组件完整性检查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11、喷头外观及组件完整性检查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12、室内消火栓、箱组件检查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13、室外消火栓组件检查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14、末端试水装置组件完整性检查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15、消防软管卷盘</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16、启泵按钮</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布线检测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1、水泵吸、出水管道布置</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2、水力警铃和报警阀连接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3、水力警铃和延迟器连接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4、螺纹连接管道</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5、焊接连接管道</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6、报警阀以后的管路</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7、配水管道</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8、电磁阀开关布线</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9、系统绝缘电阻及系统接地电阻测量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10、导线截面积测量及计算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11、水泵及稳压电源布线检测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12、水流指示器布线保护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安装检测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1、消防水池水位指示等安装质量检测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2、水泵和稳压泵安装质量检测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3、水泵接合器安装质量检测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4、报警阀系统安装质量检测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5、压力开关安装质量检测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6、水流指标器安装质量检测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7、报警阀控制喷头安装质量检测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8、干式报警阀安装质量检测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9、雨淋阀安装质量检测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10、配水支管设置喷头安装质量检测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11、管路支、吊架安装质量检测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12、减压孔板和节流装置安装质量检测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13、喷头与建筑物尺寸</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14、监测及报警控制装置安装质量检测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15、室内消火栓手动控制安装质量检测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16、室内消火栓自动控制安装质量检测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17、消防水池补水措施，合用水池保护措施检查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81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18、消防水箱安装间距、补水措施，组件安装质量、保护措施检查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81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19、气压给水装置容积、工作压力、组件安装、调节储水量、安装尺寸检查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20、水泵出水管径和流量检查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21、消火栓管网安装质量检查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22、消防栓按钮安装质量检测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23、消火栓栓口压力试验（动、静压力）</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24、消火栓消防用水量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25、消防水带耐压试验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系统功能试验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1、消防泵启动试验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2、气压给水装置启动试验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3、管路末端试水装置</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4、报警阀功能试验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5、系统联动试验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6、水泵控制柜功能检验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7、自动喷水灭火系统联动试验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8、水流指示器功能检验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9、压力开关功能检验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10、启泵按钮功能检验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11、稳压水泵压力自控功能试验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12、水泵主、备泵互投功能试验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2-7-3</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气体灭火系统检测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外观验查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1、贮存容器外观检验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2、集流管及泄压装置组件完整及外观检验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3、高压软管及单向阀</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4、选择阀及连接方式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5、采用气体灭火防护区标志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6、气体驱动装置组件完整及外观检验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7、气体管路及气体隔绝器组件完整及外观检验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8、管子及管道附件、组件完整及外观检验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9、管道的支、吊架及涂漆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10、管道的末端喷嘴固定</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11、管道的防变形处理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12、喷嘴及连接管</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13、灭火控制盘组件完整及检验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14、电气连接线路组件完整及检验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布线检测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1、灭火剂充装量检验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2、贮存容器的间距</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3、贮瓶间内温度、温度检验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4、贮瓶间照明灯光照度检验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5、各种阀间距检验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6、气体驱动装置间距检验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7、启动管路间距检验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8、管道连接方式检验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9、管道的坡度、坡向检验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10、管道穿过墙壁楼板检验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11、管道的支、吊架间距检验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12、贮存容器压力表检验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13、贮存容器的安装质量检验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14、各种阀安装检验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15、气体驱动装置安装质量检验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16、气体管路连接安装质量检验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17、喷嘴连接安装间距、安装质量检验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18、导线截面积测量及计算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19、传输线的穿管保护</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功能试验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1、自动灭火试验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2、手动灭火试验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3、手动操作试验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4、气体灭火控制器功能试验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2-7-4</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防火卷帘系统与防火门系统检测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1、卷帘帘板表面质量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2、防火门焊接及表面处理</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安装检测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1、底板与地面间隙检测及计算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2、防火卷帘内幅宽度测量及计算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3、防火门厚度检测及计算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4、防火门尺寸与形位差检测及计算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5、水阀设置</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6、水管路防蚀检测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7、探测器安装距离检测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8、电源线布线检查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9、防火门材料与配件安装质量检查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10、减速机功率与工作电压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11、帘板平均升降速度</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12、应急操作装置启动力</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13、卷帘传动机构</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14、帘板升降平稳度</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15、防火门启闭性能</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16、自动防火门启动试验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17、第一种火灾探测器联动试验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18、第二种火灾探测器联动试验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19、手动按钮试验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20、信号反馈测试</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21、火警状态下帘板及水幕状态</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2-7-5</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通风排烟系统检测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1、有无孔洞、伤痕等</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2、系统安装配套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布线检测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1、管线密封性</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2、管道保温、隔热材料检查</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功能检测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1、设备功率检测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2、系统风速测定</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3、系统风压测定</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4、远距离手动操作试验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5、控制室火警联动控制</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6、送风口、排烟口设置及位置检验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7、送风口、排烟口手动控制检验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8、送风口、排烟口电动控制检验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9、防火阀、排烟防火阀设置位置检验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4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10、防火阀、排烟防火阀功能检验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11、系统联动功能检测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2-7-6</w:t>
            </w:r>
          </w:p>
        </w:tc>
        <w:tc>
          <w:tcPr>
            <w:tcW w:w="1420"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应急照明及疏散指示系统检测</w:t>
            </w: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外观</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1、应急照明灯</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2、疏散指示灯</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3、消防应急电源</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系统布线</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1、布线质量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2、导线截面积测量及计算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3、传输导线穿管保护检验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4、传输线路管路材料检验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系统安装</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1、应急照明灯安装质量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2、疏散指示灯安装质量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3、消防应急电源安装质量</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4、疏散指示灯方向标志</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b/>
                <w:bCs/>
                <w:kern w:val="0"/>
                <w:sz w:val="21"/>
                <w:szCs w:val="21"/>
              </w:rPr>
            </w:pPr>
            <w:r>
              <w:rPr>
                <w:rFonts w:hint="eastAsia" w:hAnsi="宋体" w:cs="宋体"/>
                <w:b/>
                <w:bCs/>
                <w:kern w:val="0"/>
                <w:sz w:val="21"/>
                <w:szCs w:val="21"/>
              </w:rPr>
              <w:t>功能检测</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　</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1、应急照明灯具照度功能检验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270" w:hRule="atLeast"/>
        </w:trPr>
        <w:tc>
          <w:tcPr>
            <w:tcW w:w="1040"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420"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200" w:type="dxa"/>
            <w:tcBorders>
              <w:top w:val="nil"/>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2、消防应急电源功能检验</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rPr>
          <w:trHeight w:val="550" w:hRule="atLeast"/>
        </w:trPr>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2-7-7</w:t>
            </w:r>
          </w:p>
        </w:tc>
        <w:tc>
          <w:tcPr>
            <w:tcW w:w="142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电气防火安全检测</w:t>
            </w:r>
          </w:p>
        </w:tc>
        <w:tc>
          <w:tcPr>
            <w:tcW w:w="320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整个数字福建云计算中心（政务云）大楼</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bl>
    <w:p>
      <w:pPr>
        <w:pStyle w:val="6"/>
        <w:numPr>
          <w:ilvl w:val="3"/>
          <w:numId w:val="72"/>
        </w:numPr>
        <w:rPr>
          <w:color w:val="auto"/>
        </w:rPr>
      </w:pPr>
      <w:r>
        <w:rPr>
          <w:rFonts w:hint="eastAsia" w:ascii="宋体" w:hAnsi="宋体" w:cs="宋体"/>
          <w:b w:val="0"/>
          <w:color w:val="auto"/>
          <w:kern w:val="0"/>
          <w:sz w:val="21"/>
          <w:szCs w:val="21"/>
        </w:rPr>
        <w:t>★</w:t>
      </w:r>
      <w:r>
        <w:rPr>
          <w:rFonts w:hint="eastAsia"/>
          <w:color w:val="auto"/>
        </w:rPr>
        <w:t>安全测评服务要求（项号15）</w:t>
      </w:r>
    </w:p>
    <w:p>
      <w:pPr>
        <w:pStyle w:val="11"/>
        <w:numPr>
          <w:ilvl w:val="8"/>
          <w:numId w:val="72"/>
        </w:numPr>
      </w:pPr>
      <w:bookmarkStart w:id="124" w:name="_Toc165045316"/>
      <w:r>
        <w:rPr>
          <w:rFonts w:hint="eastAsia"/>
        </w:rPr>
        <w:t>(品目2-8)安全测评服务</w:t>
      </w:r>
      <w:bookmarkEnd w:id="124"/>
    </w:p>
    <w:tbl>
      <w:tblPr>
        <w:tblStyle w:val="75"/>
        <w:tblW w:w="9020" w:type="dxa"/>
        <w:tblInd w:w="0" w:type="dxa"/>
        <w:tblLayout w:type="autofit"/>
        <w:tblCellMar>
          <w:top w:w="0" w:type="dxa"/>
          <w:left w:w="108" w:type="dxa"/>
          <w:bottom w:w="0" w:type="dxa"/>
          <w:right w:w="108" w:type="dxa"/>
        </w:tblCellMar>
      </w:tblPr>
      <w:tblGrid>
        <w:gridCol w:w="1040"/>
        <w:gridCol w:w="1420"/>
        <w:gridCol w:w="3200"/>
        <w:gridCol w:w="760"/>
        <w:gridCol w:w="760"/>
        <w:gridCol w:w="1840"/>
      </w:tblGrid>
      <w:tr>
        <w:tblPrEx>
          <w:tblCellMar>
            <w:top w:w="0" w:type="dxa"/>
            <w:left w:w="108" w:type="dxa"/>
            <w:bottom w:w="0" w:type="dxa"/>
            <w:right w:w="108" w:type="dxa"/>
          </w:tblCellMar>
        </w:tblPrEx>
        <w:trPr>
          <w:tblHeader/>
        </w:trPr>
        <w:tc>
          <w:tcPr>
            <w:tcW w:w="1040"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42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0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测评服务内容及要求</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CellMar>
            <w:top w:w="0" w:type="dxa"/>
            <w:left w:w="108" w:type="dxa"/>
            <w:bottom w:w="0" w:type="dxa"/>
            <w:right w:w="108" w:type="dxa"/>
          </w:tblCellMar>
        </w:tblPrEx>
        <w:tc>
          <w:tcPr>
            <w:tcW w:w="1040" w:type="dxa"/>
            <w:tcBorders>
              <w:top w:val="nil"/>
              <w:left w:val="double" w:color="auto" w:sz="6" w:space="0"/>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2-8</w:t>
            </w:r>
          </w:p>
        </w:tc>
        <w:tc>
          <w:tcPr>
            <w:tcW w:w="142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安全测评服务</w:t>
            </w:r>
          </w:p>
        </w:tc>
        <w:tc>
          <w:tcPr>
            <w:tcW w:w="3200" w:type="dxa"/>
            <w:tcBorders>
              <w:top w:val="nil"/>
              <w:left w:val="nil"/>
              <w:bottom w:val="double" w:color="auto" w:sz="6"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对云计算中心机房基础设施进行GB/T 22239-2019《信息安全技术 网络安全等级保护基本要求》(三级测评，包括运维网络安全相关软硬件系统管理优化</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除开展等保三级测评工作外，中标方还须按照等保三级要求做好基础设施的日常网络安全管理工作，对于不符合要求的地方要及时整改到位</w:t>
            </w:r>
          </w:p>
        </w:tc>
      </w:tr>
    </w:tbl>
    <w:p>
      <w:pPr>
        <w:pStyle w:val="5"/>
        <w:numPr>
          <w:ilvl w:val="2"/>
          <w:numId w:val="72"/>
        </w:numPr>
      </w:pPr>
      <w:bookmarkStart w:id="125" w:name="_Toc19227"/>
      <w:r>
        <w:rPr>
          <w:rFonts w:hint="eastAsia"/>
        </w:rPr>
        <w:t>改造提升服务要求（项号16）</w:t>
      </w:r>
      <w:bookmarkEnd w:id="125"/>
    </w:p>
    <w:p>
      <w:pPr>
        <w:pStyle w:val="6"/>
        <w:numPr>
          <w:ilvl w:val="3"/>
          <w:numId w:val="72"/>
        </w:numPr>
        <w:rPr>
          <w:color w:val="auto"/>
        </w:rPr>
      </w:pPr>
      <w:r>
        <w:rPr>
          <w:rFonts w:hint="eastAsia"/>
          <w:color w:val="auto"/>
        </w:rPr>
        <w:t>硬件设施改造提升服务要求</w:t>
      </w:r>
    </w:p>
    <w:p>
      <w:pPr>
        <w:pStyle w:val="11"/>
        <w:numPr>
          <w:ilvl w:val="8"/>
          <w:numId w:val="72"/>
        </w:numPr>
      </w:pPr>
      <w:bookmarkStart w:id="126" w:name="_Toc165045317"/>
      <w:r>
        <w:rPr>
          <w:rFonts w:hint="eastAsia"/>
        </w:rPr>
        <w:t>(品目2-9)硬件设施改造提升服务</w:t>
      </w:r>
      <w:bookmarkEnd w:id="126"/>
    </w:p>
    <w:tbl>
      <w:tblPr>
        <w:tblStyle w:val="75"/>
        <w:tblW w:w="9020"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59"/>
        <w:gridCol w:w="1428"/>
        <w:gridCol w:w="3391"/>
        <w:gridCol w:w="709"/>
        <w:gridCol w:w="851"/>
        <w:gridCol w:w="168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95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428"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391"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服务内容及要求</w:t>
            </w:r>
          </w:p>
        </w:tc>
        <w:tc>
          <w:tcPr>
            <w:tcW w:w="709"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851"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682"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2-9-1</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UPS蓄电池更换</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对部分蓄电能力不足的UPS蓄电池进行更换</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节</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109</w:t>
            </w:r>
          </w:p>
        </w:tc>
        <w:tc>
          <w:tcPr>
            <w:tcW w:w="1682" w:type="dxa"/>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2-9-2</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制冷管路系统提升</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对因腐蚀漏水的主管路12个弯头及4个法兰进行更换，以及对室内冷却水管道外部进行防锈处理，对部分损坏冷冻管路保温棉进行修复</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682"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2-9-3</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冷却塔防腐改造</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对两台锈蚀较严重的冷却塔进行防腐改造，同时对腐蚀严重的冷却塔配套的强弱电线路管材进行更换</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682"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2-9-4</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制冷机房照明改造</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对制冷机房照明进行改造，提升机房整体亮度</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682" w:type="dxa"/>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2-9-5</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制冷机房门禁改造</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制冷机房增加一套门禁，并纳入数据中心门禁管理系统中</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682" w:type="dxa"/>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2-9-6</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加湿器防腐改造</w:t>
            </w:r>
          </w:p>
        </w:tc>
        <w:tc>
          <w:tcPr>
            <w:tcW w:w="3391"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对机房内部分使用年限较长的加湿器储水箱进行防腐改造</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台</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682" w:type="dxa"/>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959"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2-9-7</w:t>
            </w:r>
          </w:p>
        </w:tc>
        <w:tc>
          <w:tcPr>
            <w:tcW w:w="1428"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园区改造</w:t>
            </w:r>
          </w:p>
        </w:tc>
        <w:tc>
          <w:tcPr>
            <w:tcW w:w="3391" w:type="dxa"/>
            <w:shd w:val="clear" w:color="auto" w:fill="auto"/>
          </w:tcPr>
          <w:p>
            <w:pPr>
              <w:widowControl/>
              <w:spacing w:line="360" w:lineRule="exact"/>
              <w:rPr>
                <w:rFonts w:hAnsi="宋体" w:cs="宋体"/>
                <w:kern w:val="0"/>
                <w:sz w:val="21"/>
                <w:szCs w:val="21"/>
              </w:rPr>
            </w:pPr>
            <w:r>
              <w:rPr>
                <w:rFonts w:hint="eastAsia"/>
                <w:sz w:val="21"/>
                <w:szCs w:val="21"/>
              </w:rPr>
              <w:t>开展园区范围内的漏水修复、吊顶修复、路面拆除、雨棚防水、玻璃更换、石材更换、玻璃防晒贴膜、检修口更换、不锈钢字体清洗贴膜、铺设瓷砖、油漆修复、电动闸门更换、防火门更换、楼梯口开窗等园区改造工作，并根据实际需要新增1台空调、1台净水饮水机设备等</w:t>
            </w:r>
          </w:p>
        </w:tc>
        <w:tc>
          <w:tcPr>
            <w:tcW w:w="709" w:type="dxa"/>
            <w:shd w:val="clear" w:color="auto" w:fill="auto"/>
            <w:vAlign w:val="center"/>
          </w:tcPr>
          <w:p>
            <w:pPr>
              <w:widowControl/>
              <w:spacing w:line="360" w:lineRule="exact"/>
              <w:jc w:val="center"/>
              <w:rPr>
                <w:rFonts w:hAnsi="宋体" w:cs="宋体"/>
                <w:kern w:val="0"/>
                <w:sz w:val="21"/>
                <w:szCs w:val="21"/>
              </w:rPr>
            </w:pPr>
            <w:r>
              <w:rPr>
                <w:rFonts w:hint="eastAsia"/>
                <w:sz w:val="21"/>
                <w:szCs w:val="21"/>
              </w:rPr>
              <w:t>项</w:t>
            </w:r>
          </w:p>
        </w:tc>
        <w:tc>
          <w:tcPr>
            <w:tcW w:w="851" w:type="dxa"/>
            <w:shd w:val="clear" w:color="auto" w:fill="auto"/>
            <w:vAlign w:val="center"/>
          </w:tcPr>
          <w:p>
            <w:pPr>
              <w:widowControl/>
              <w:spacing w:line="360" w:lineRule="exact"/>
              <w:jc w:val="center"/>
              <w:rPr>
                <w:rFonts w:hAnsi="宋体" w:cs="宋体"/>
                <w:kern w:val="0"/>
                <w:sz w:val="21"/>
                <w:szCs w:val="21"/>
              </w:rPr>
            </w:pPr>
            <w:r>
              <w:rPr>
                <w:rFonts w:hint="eastAsia"/>
                <w:sz w:val="21"/>
                <w:szCs w:val="21"/>
              </w:rPr>
              <w:t xml:space="preserve">1 </w:t>
            </w:r>
          </w:p>
        </w:tc>
        <w:tc>
          <w:tcPr>
            <w:tcW w:w="1682" w:type="dxa"/>
            <w:shd w:val="clear" w:color="auto" w:fill="auto"/>
            <w:vAlign w:val="center"/>
          </w:tcPr>
          <w:p>
            <w:pPr>
              <w:widowControl/>
              <w:spacing w:line="360" w:lineRule="exact"/>
              <w:jc w:val="left"/>
              <w:rPr>
                <w:rFonts w:hAnsi="宋体" w:cs="宋体"/>
                <w:kern w:val="0"/>
                <w:sz w:val="21"/>
                <w:szCs w:val="21"/>
              </w:rPr>
            </w:pPr>
          </w:p>
        </w:tc>
      </w:tr>
    </w:tbl>
    <w:p>
      <w:pPr>
        <w:pStyle w:val="6"/>
        <w:numPr>
          <w:ilvl w:val="3"/>
          <w:numId w:val="72"/>
        </w:numPr>
        <w:rPr>
          <w:color w:val="auto"/>
        </w:rPr>
      </w:pPr>
      <w:r>
        <w:rPr>
          <w:rFonts w:hint="eastAsia"/>
          <w:color w:val="auto"/>
        </w:rPr>
        <w:t>运维系统优化提升服务要求</w:t>
      </w:r>
    </w:p>
    <w:p>
      <w:pPr>
        <w:pStyle w:val="11"/>
        <w:numPr>
          <w:ilvl w:val="8"/>
          <w:numId w:val="72"/>
        </w:numPr>
      </w:pPr>
      <w:bookmarkStart w:id="127" w:name="_Toc165045318"/>
      <w:r>
        <w:rPr>
          <w:rFonts w:hint="eastAsia"/>
        </w:rPr>
        <w:t>(品目2-10)运维系统优化提升服务</w:t>
      </w:r>
      <w:bookmarkEnd w:id="127"/>
    </w:p>
    <w:tbl>
      <w:tblPr>
        <w:tblStyle w:val="75"/>
        <w:tblW w:w="9020"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40"/>
        <w:gridCol w:w="1420"/>
        <w:gridCol w:w="3200"/>
        <w:gridCol w:w="760"/>
        <w:gridCol w:w="760"/>
        <w:gridCol w:w="1840"/>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104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42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0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服务内容及要求</w:t>
            </w:r>
          </w:p>
        </w:tc>
        <w:tc>
          <w:tcPr>
            <w:tcW w:w="76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2489" w:hRule="atLeast"/>
        </w:trPr>
        <w:tc>
          <w:tcPr>
            <w:tcW w:w="104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2-10-1</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动环监控系统提升</w:t>
            </w:r>
          </w:p>
        </w:tc>
        <w:tc>
          <w:tcPr>
            <w:tcW w:w="3200" w:type="dxa"/>
            <w:shd w:val="clear" w:color="auto" w:fill="auto"/>
            <w:vAlign w:val="center"/>
          </w:tcPr>
          <w:p>
            <w:pPr>
              <w:widowControl/>
              <w:spacing w:line="360" w:lineRule="exact"/>
              <w:rPr>
                <w:sz w:val="21"/>
                <w:szCs w:val="21"/>
              </w:rPr>
            </w:pPr>
            <w:r>
              <w:rPr>
                <w:rFonts w:hint="eastAsia" w:hAnsi="宋体" w:cs="宋体"/>
                <w:kern w:val="0"/>
                <w:sz w:val="21"/>
                <w:szCs w:val="21"/>
              </w:rPr>
              <w:t>升级现有动环监控系统软件，对动环监控服务器硬盘进行扩容，满足系统三年内历史数据存储需要，同时增加冷却塔液位、冷却水PH值、盐度、电导率、市政水用水量及冷却塔补水量传感器，并接入到动环监控系统中</w:t>
            </w:r>
          </w:p>
        </w:tc>
        <w:tc>
          <w:tcPr>
            <w:tcW w:w="760" w:type="dxa"/>
            <w:shd w:val="clear" w:color="auto" w:fill="auto"/>
            <w:vAlign w:val="center"/>
          </w:tcPr>
          <w:p>
            <w:pPr>
              <w:widowControl/>
              <w:spacing w:line="360" w:lineRule="exact"/>
              <w:jc w:val="center"/>
              <w:rPr>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sz w:val="21"/>
                <w:szCs w:val="21"/>
              </w:rPr>
            </w:pPr>
            <w:r>
              <w:rPr>
                <w:rFonts w:hint="eastAsia"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2-10-2</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视频监控系统提升</w:t>
            </w:r>
          </w:p>
        </w:tc>
        <w:tc>
          <w:tcPr>
            <w:tcW w:w="3200" w:type="dxa"/>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为提升园区整体智能安防能力，新增6个高清摄像头，并接入现有统一视频监控系统</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p>
        </w:tc>
      </w:tr>
    </w:tbl>
    <w:p>
      <w:pPr>
        <w:pStyle w:val="6"/>
        <w:numPr>
          <w:ilvl w:val="3"/>
          <w:numId w:val="72"/>
        </w:numPr>
        <w:rPr>
          <w:color w:val="auto"/>
        </w:rPr>
      </w:pPr>
      <w:r>
        <w:rPr>
          <w:rFonts w:hint="eastAsia"/>
          <w:color w:val="auto"/>
        </w:rPr>
        <w:t>综合能力提升服务要求</w:t>
      </w:r>
    </w:p>
    <w:p>
      <w:pPr>
        <w:pStyle w:val="11"/>
        <w:numPr>
          <w:ilvl w:val="8"/>
          <w:numId w:val="72"/>
        </w:numPr>
      </w:pPr>
      <w:bookmarkStart w:id="128" w:name="_Toc165045319"/>
      <w:r>
        <w:rPr>
          <w:rFonts w:hint="eastAsia"/>
        </w:rPr>
        <w:t>(品目2-11) 综合能力提升服务</w:t>
      </w:r>
      <w:bookmarkEnd w:id="128"/>
    </w:p>
    <w:tbl>
      <w:tblPr>
        <w:tblStyle w:val="75"/>
        <w:tblW w:w="9020"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40"/>
        <w:gridCol w:w="1420"/>
        <w:gridCol w:w="3200"/>
        <w:gridCol w:w="760"/>
        <w:gridCol w:w="760"/>
        <w:gridCol w:w="1840"/>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104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品目号</w:t>
            </w:r>
          </w:p>
        </w:tc>
        <w:tc>
          <w:tcPr>
            <w:tcW w:w="142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品目</w:t>
            </w:r>
          </w:p>
        </w:tc>
        <w:tc>
          <w:tcPr>
            <w:tcW w:w="320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服务内容及要求</w:t>
            </w:r>
          </w:p>
        </w:tc>
        <w:tc>
          <w:tcPr>
            <w:tcW w:w="76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单位</w:t>
            </w:r>
          </w:p>
        </w:tc>
        <w:tc>
          <w:tcPr>
            <w:tcW w:w="76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数量</w:t>
            </w:r>
          </w:p>
        </w:tc>
        <w:tc>
          <w:tcPr>
            <w:tcW w:w="1840" w:type="dxa"/>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2-1</w:t>
            </w:r>
            <w:r>
              <w:rPr>
                <w:rFonts w:hint="eastAsia" w:hAnsi="宋体" w:cs="宋体"/>
                <w:kern w:val="0"/>
                <w:sz w:val="21"/>
                <w:szCs w:val="21"/>
              </w:rPr>
              <w:t>1</w:t>
            </w:r>
            <w:r>
              <w:rPr>
                <w:rFonts w:hAnsi="宋体" w:cs="宋体"/>
                <w:kern w:val="0"/>
                <w:sz w:val="21"/>
                <w:szCs w:val="21"/>
              </w:rPr>
              <w:t>-1</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运维网络安全保障能力提升</w:t>
            </w:r>
          </w:p>
        </w:tc>
        <w:tc>
          <w:tcPr>
            <w:tcW w:w="320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按照国家有关网络安全法律法规以及标准规范要求，对运维网络安全保障能力进行提升优化，加强网络安全技术防范，定期开展网络安全风险排查，并配合甲方在重要保障时期做好运维网络安全保障工作</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2-11-2</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节能降碳改造提升</w:t>
            </w:r>
          </w:p>
        </w:tc>
        <w:tc>
          <w:tcPr>
            <w:tcW w:w="320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改造10盏园区灯光风储路灯，同时建设智慧路灯平台，并接入动环监控系统进行统一监控</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　</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2-11-3</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宣传优化提升</w:t>
            </w:r>
          </w:p>
        </w:tc>
        <w:tc>
          <w:tcPr>
            <w:tcW w:w="320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机房相关门牌、设备机柜、指示标识、宣传小册子等重新设计优化，更新相关资料</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40"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2-11-4</w:t>
            </w:r>
          </w:p>
        </w:tc>
        <w:tc>
          <w:tcPr>
            <w:tcW w:w="142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优化提升运维和安全管理制度</w:t>
            </w:r>
          </w:p>
        </w:tc>
        <w:tc>
          <w:tcPr>
            <w:tcW w:w="3200" w:type="dxa"/>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结合云计算中心往年运维服务经验，优化提升云计算中心机房运维和安全管理制度</w:t>
            </w:r>
          </w:p>
        </w:tc>
        <w:tc>
          <w:tcPr>
            <w:tcW w:w="760" w:type="dxa"/>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项</w:t>
            </w:r>
          </w:p>
        </w:tc>
        <w:tc>
          <w:tcPr>
            <w:tcW w:w="760" w:type="dxa"/>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c>
          <w:tcPr>
            <w:tcW w:w="1840" w:type="dxa"/>
            <w:shd w:val="clear" w:color="auto" w:fill="auto"/>
            <w:vAlign w:val="center"/>
          </w:tcPr>
          <w:p>
            <w:pPr>
              <w:widowControl/>
              <w:spacing w:line="360" w:lineRule="exact"/>
              <w:jc w:val="left"/>
              <w:rPr>
                <w:rFonts w:hAnsi="宋体" w:cs="宋体"/>
                <w:kern w:val="0"/>
                <w:sz w:val="21"/>
                <w:szCs w:val="21"/>
              </w:rPr>
            </w:pPr>
          </w:p>
        </w:tc>
      </w:tr>
    </w:tbl>
    <w:p>
      <w:pPr>
        <w:pStyle w:val="5"/>
        <w:numPr>
          <w:ilvl w:val="2"/>
          <w:numId w:val="72"/>
        </w:numPr>
      </w:pPr>
      <w:bookmarkStart w:id="129" w:name="_Toc12099"/>
      <w:r>
        <w:rPr>
          <w:rFonts w:hint="eastAsia"/>
        </w:rPr>
        <w:t>备品备件服务要求（项号17）</w:t>
      </w:r>
      <w:bookmarkEnd w:id="129"/>
    </w:p>
    <w:p>
      <w:pPr>
        <w:ind w:firstLine="480" w:firstLineChars="200"/>
      </w:pPr>
      <w:r>
        <w:rPr>
          <w:rFonts w:hint="eastAsia"/>
        </w:rPr>
        <w:t>本项目备品备件定义如下：</w:t>
      </w:r>
    </w:p>
    <w:p>
      <w:pPr>
        <w:pStyle w:val="135"/>
        <w:numPr>
          <w:ilvl w:val="0"/>
          <w:numId w:val="131"/>
        </w:numPr>
        <w:ind w:left="0" w:firstLine="480"/>
        <w:rPr>
          <w:rFonts w:hAnsi="宋体" w:cs="Arial"/>
        </w:rPr>
      </w:pPr>
      <w:bookmarkStart w:id="130" w:name="_Toc165045320"/>
      <w:r>
        <w:rPr>
          <w:rFonts w:hint="eastAsia" w:hAnsi="宋体" w:cs="Arial"/>
        </w:rPr>
        <w:t>备品：属于本项目实际运维和维修服务过程所需使用的设备及配件、耗材</w:t>
      </w:r>
      <w:r>
        <w:rPr>
          <w:rFonts w:hint="eastAsia"/>
        </w:rPr>
        <w:t>以及日常运维所需的基础运维工具</w:t>
      </w:r>
      <w:r>
        <w:rPr>
          <w:rFonts w:hint="eastAsia" w:hAnsi="宋体" w:cs="Arial"/>
        </w:rPr>
        <w:t>。</w:t>
      </w:r>
    </w:p>
    <w:p>
      <w:pPr>
        <w:pStyle w:val="135"/>
        <w:numPr>
          <w:ilvl w:val="0"/>
          <w:numId w:val="131"/>
        </w:numPr>
        <w:ind w:left="0" w:firstLine="480"/>
        <w:rPr>
          <w:rFonts w:hAnsi="宋体" w:cs="Arial"/>
        </w:rPr>
      </w:pPr>
      <w:r>
        <w:rPr>
          <w:rFonts w:hint="eastAsia" w:hAnsi="宋体" w:cs="Arial"/>
        </w:rPr>
        <w:t>备件：产权归属中标方，以备件库方式按需交付至甲方服务期内使用，用于本项目实际运维和维修服务过程所需使用的设备零部件、整机设备，以及运维所需的所有运维工具。</w:t>
      </w:r>
    </w:p>
    <w:p>
      <w:pPr>
        <w:pStyle w:val="6"/>
        <w:numPr>
          <w:ilvl w:val="3"/>
          <w:numId w:val="72"/>
        </w:numPr>
        <w:rPr>
          <w:color w:val="auto"/>
        </w:rPr>
      </w:pPr>
      <w:r>
        <w:rPr>
          <w:rFonts w:hint="eastAsia"/>
          <w:color w:val="auto"/>
        </w:rPr>
        <w:t>备品服务</w:t>
      </w:r>
    </w:p>
    <w:p>
      <w:pPr>
        <w:ind w:firstLine="482" w:firstLineChars="200"/>
        <w:rPr>
          <w:b/>
          <w:bCs/>
        </w:rPr>
      </w:pPr>
      <w:r>
        <w:rPr>
          <w:rFonts w:hint="eastAsia"/>
          <w:b/>
          <w:bCs/>
        </w:rPr>
        <w:t>1、交付方式</w:t>
      </w:r>
    </w:p>
    <w:p>
      <w:pPr>
        <w:ind w:firstLine="480" w:firstLineChars="200"/>
      </w:pPr>
      <w:r>
        <w:rPr>
          <w:rFonts w:hint="eastAsia"/>
        </w:rPr>
        <w:t>合同签订后交付至云计算中心现场。</w:t>
      </w:r>
    </w:p>
    <w:p>
      <w:pPr>
        <w:ind w:firstLine="482" w:firstLineChars="200"/>
        <w:rPr>
          <w:b/>
          <w:bCs/>
        </w:rPr>
      </w:pPr>
      <w:r>
        <w:rPr>
          <w:rFonts w:hint="eastAsia"/>
          <w:b/>
          <w:bCs/>
        </w:rPr>
        <w:t>2、产权归属</w:t>
      </w:r>
    </w:p>
    <w:p>
      <w:pPr>
        <w:ind w:firstLine="480" w:firstLineChars="200"/>
      </w:pPr>
      <w:r>
        <w:rPr>
          <w:rFonts w:hint="eastAsia"/>
        </w:rPr>
        <w:t>所有备品产权归属方为甲方。</w:t>
      </w:r>
    </w:p>
    <w:p>
      <w:pPr>
        <w:ind w:firstLine="482" w:firstLineChars="200"/>
        <w:rPr>
          <w:b/>
          <w:bCs/>
        </w:rPr>
      </w:pPr>
      <w:r>
        <w:rPr>
          <w:rFonts w:hint="eastAsia"/>
          <w:b/>
          <w:bCs/>
        </w:rPr>
        <w:t>3、服务期满处置方式</w:t>
      </w:r>
    </w:p>
    <w:p>
      <w:pPr>
        <w:ind w:firstLine="480" w:firstLineChars="200"/>
      </w:pPr>
      <w:r>
        <w:rPr>
          <w:rFonts w:hint="eastAsia"/>
        </w:rPr>
        <w:t>由中标方盘点整理后移交甲方。</w:t>
      </w:r>
    </w:p>
    <w:p>
      <w:pPr>
        <w:ind w:firstLine="482" w:firstLineChars="200"/>
        <w:rPr>
          <w:b/>
          <w:bCs/>
        </w:rPr>
      </w:pPr>
      <w:r>
        <w:rPr>
          <w:rFonts w:hint="eastAsia"/>
          <w:b/>
          <w:bCs/>
        </w:rPr>
        <w:t>4、配备要求</w:t>
      </w:r>
    </w:p>
    <w:p>
      <w:pPr>
        <w:pStyle w:val="11"/>
        <w:numPr>
          <w:ilvl w:val="8"/>
          <w:numId w:val="72"/>
        </w:numPr>
      </w:pPr>
      <w:r>
        <w:rPr>
          <w:rFonts w:hint="eastAsia"/>
        </w:rPr>
        <w:t>(品目2-12)备品服务</w:t>
      </w:r>
    </w:p>
    <w:tbl>
      <w:tblPr>
        <w:tblStyle w:val="75"/>
        <w:tblpPr w:leftFromText="180" w:rightFromText="180" w:vertAnchor="text" w:horzAnchor="page" w:tblpX="1814" w:tblpY="431"/>
        <w:tblOverlap w:val="never"/>
        <w:tblW w:w="9049"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56"/>
        <w:gridCol w:w="1756"/>
        <w:gridCol w:w="3195"/>
        <w:gridCol w:w="759"/>
        <w:gridCol w:w="759"/>
        <w:gridCol w:w="1524"/>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rPr>
          <w:tblHeader/>
        </w:trPr>
        <w:tc>
          <w:tcPr>
            <w:tcW w:w="1056"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品目号</w:t>
            </w:r>
          </w:p>
        </w:tc>
        <w:tc>
          <w:tcPr>
            <w:tcW w:w="1756"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品目</w:t>
            </w:r>
          </w:p>
        </w:tc>
        <w:tc>
          <w:tcPr>
            <w:tcW w:w="3195"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服务内容及要求</w:t>
            </w:r>
          </w:p>
        </w:tc>
        <w:tc>
          <w:tcPr>
            <w:tcW w:w="759"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单位</w:t>
            </w:r>
          </w:p>
        </w:tc>
        <w:tc>
          <w:tcPr>
            <w:tcW w:w="759"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数量</w:t>
            </w:r>
          </w:p>
        </w:tc>
        <w:tc>
          <w:tcPr>
            <w:tcW w:w="1524"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56"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2-12</w:t>
            </w:r>
          </w:p>
        </w:tc>
        <w:tc>
          <w:tcPr>
            <w:tcW w:w="1756" w:type="dxa"/>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备品服务</w:t>
            </w:r>
          </w:p>
        </w:tc>
        <w:tc>
          <w:tcPr>
            <w:tcW w:w="3195" w:type="dxa"/>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机柜、通风空调、电气系统、智能化系统、消防系统等实际运行维护和维修服务过程所需的设备及配件、耗材以及日常运维所需的基础运维工具。</w:t>
            </w:r>
          </w:p>
        </w:tc>
        <w:tc>
          <w:tcPr>
            <w:tcW w:w="759"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项</w:t>
            </w:r>
          </w:p>
        </w:tc>
        <w:tc>
          <w:tcPr>
            <w:tcW w:w="759"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524" w:type="dxa"/>
            <w:shd w:val="clear" w:color="auto" w:fill="auto"/>
            <w:vAlign w:val="center"/>
          </w:tcPr>
          <w:p>
            <w:pPr>
              <w:widowControl/>
              <w:spacing w:line="320" w:lineRule="exact"/>
              <w:jc w:val="center"/>
              <w:rPr>
                <w:rFonts w:hAnsi="宋体" w:cs="宋体"/>
                <w:kern w:val="0"/>
                <w:sz w:val="21"/>
                <w:szCs w:val="21"/>
              </w:rPr>
            </w:pPr>
          </w:p>
        </w:tc>
      </w:tr>
      <w:bookmarkEnd w:id="130"/>
    </w:tbl>
    <w:p>
      <w:pPr>
        <w:ind w:firstLine="480" w:firstLineChars="200"/>
      </w:pPr>
      <w:r>
        <w:rPr>
          <w:rFonts w:hint="eastAsia"/>
        </w:rPr>
        <w:t>在项目运维服务期间，中标方应按月度做好备品出入库盘点工作，相关盘点结果在月度报告中体现。</w:t>
      </w:r>
    </w:p>
    <w:p>
      <w:pPr>
        <w:pStyle w:val="6"/>
        <w:numPr>
          <w:ilvl w:val="3"/>
          <w:numId w:val="72"/>
        </w:numPr>
        <w:rPr>
          <w:color w:val="auto"/>
        </w:rPr>
      </w:pPr>
      <w:r>
        <w:rPr>
          <w:rFonts w:hint="eastAsia"/>
          <w:color w:val="auto"/>
        </w:rPr>
        <w:t>备件服务</w:t>
      </w:r>
    </w:p>
    <w:p>
      <w:pPr>
        <w:ind w:firstLine="482" w:firstLineChars="200"/>
        <w:rPr>
          <w:b/>
          <w:bCs/>
        </w:rPr>
      </w:pPr>
      <w:r>
        <w:rPr>
          <w:rFonts w:hint="eastAsia"/>
          <w:b/>
          <w:bCs/>
        </w:rPr>
        <w:t>1、交付方式</w:t>
      </w:r>
    </w:p>
    <w:p>
      <w:pPr>
        <w:ind w:firstLine="480" w:firstLineChars="200"/>
      </w:pPr>
      <w:r>
        <w:rPr>
          <w:rFonts w:hint="eastAsia"/>
        </w:rPr>
        <w:t xml:space="preserve">以中标方设立本地备件库方式交付，合同签订后所有备件存放在中标方备件库，运维期内按需将备件交付云计算中心使用。 </w:t>
      </w:r>
    </w:p>
    <w:p>
      <w:pPr>
        <w:ind w:firstLine="482" w:firstLineChars="200"/>
        <w:rPr>
          <w:b/>
          <w:bCs/>
        </w:rPr>
      </w:pPr>
      <w:r>
        <w:rPr>
          <w:rFonts w:hint="eastAsia"/>
          <w:b/>
          <w:bCs/>
        </w:rPr>
        <w:t>2、产权归属</w:t>
      </w:r>
    </w:p>
    <w:p>
      <w:pPr>
        <w:ind w:firstLine="480" w:firstLineChars="200"/>
      </w:pPr>
      <w:r>
        <w:rPr>
          <w:rFonts w:hint="eastAsia"/>
        </w:rPr>
        <w:t>所有备件产权归属方为中标方。</w:t>
      </w:r>
    </w:p>
    <w:p>
      <w:pPr>
        <w:ind w:firstLine="482" w:firstLineChars="200"/>
        <w:rPr>
          <w:b/>
          <w:bCs/>
        </w:rPr>
      </w:pPr>
      <w:r>
        <w:rPr>
          <w:rFonts w:hint="eastAsia"/>
          <w:b/>
          <w:bCs/>
        </w:rPr>
        <w:t>3、服务期满处置方式</w:t>
      </w:r>
    </w:p>
    <w:p>
      <w:pPr>
        <w:ind w:firstLine="480" w:firstLineChars="200"/>
      </w:pPr>
      <w:r>
        <w:rPr>
          <w:rFonts w:hint="eastAsia"/>
        </w:rPr>
        <w:t>由中标方盘点整理已交付使用的备件，并经甲方审核确认后回收，无法回收或甲方须继续使用的，双方可另行协商处置方式。</w:t>
      </w:r>
    </w:p>
    <w:p>
      <w:pPr>
        <w:ind w:firstLine="482" w:firstLineChars="200"/>
        <w:rPr>
          <w:b/>
          <w:bCs/>
        </w:rPr>
      </w:pPr>
      <w:r>
        <w:rPr>
          <w:rFonts w:hint="eastAsia"/>
          <w:b/>
          <w:bCs/>
        </w:rPr>
        <w:t>4、配备要求</w:t>
      </w:r>
    </w:p>
    <w:p>
      <w:pPr>
        <w:pStyle w:val="11"/>
        <w:numPr>
          <w:ilvl w:val="8"/>
          <w:numId w:val="72"/>
        </w:numPr>
      </w:pPr>
      <w:r>
        <w:rPr>
          <w:rFonts w:hint="eastAsia"/>
        </w:rPr>
        <w:t>(品目2-13)备件服务</w:t>
      </w:r>
    </w:p>
    <w:tbl>
      <w:tblPr>
        <w:tblStyle w:val="75"/>
        <w:tblpPr w:leftFromText="180" w:rightFromText="180" w:vertAnchor="text" w:horzAnchor="page" w:tblpX="1814" w:tblpY="431"/>
        <w:tblOverlap w:val="never"/>
        <w:tblW w:w="9049" w:type="dxa"/>
        <w:tblInd w:w="0"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56"/>
        <w:gridCol w:w="1756"/>
        <w:gridCol w:w="3195"/>
        <w:gridCol w:w="759"/>
        <w:gridCol w:w="759"/>
        <w:gridCol w:w="1524"/>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blHeader/>
        </w:trPr>
        <w:tc>
          <w:tcPr>
            <w:tcW w:w="1056"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品目号</w:t>
            </w:r>
          </w:p>
        </w:tc>
        <w:tc>
          <w:tcPr>
            <w:tcW w:w="1756"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品目</w:t>
            </w:r>
          </w:p>
        </w:tc>
        <w:tc>
          <w:tcPr>
            <w:tcW w:w="3195"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服务内容及要求</w:t>
            </w:r>
          </w:p>
        </w:tc>
        <w:tc>
          <w:tcPr>
            <w:tcW w:w="759"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单位</w:t>
            </w:r>
          </w:p>
        </w:tc>
        <w:tc>
          <w:tcPr>
            <w:tcW w:w="759"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数量</w:t>
            </w:r>
          </w:p>
        </w:tc>
        <w:tc>
          <w:tcPr>
            <w:tcW w:w="1524" w:type="dxa"/>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备注</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1056"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2-13</w:t>
            </w:r>
          </w:p>
        </w:tc>
        <w:tc>
          <w:tcPr>
            <w:tcW w:w="1756" w:type="dxa"/>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备件服务</w:t>
            </w:r>
          </w:p>
        </w:tc>
        <w:tc>
          <w:tcPr>
            <w:tcW w:w="3195" w:type="dxa"/>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1、机柜、通风空调、电气系统、智能化系统、消防系统实际运行维护和维修服务过程所需的设备零部件、整机设备；</w:t>
            </w:r>
          </w:p>
          <w:p>
            <w:pPr>
              <w:widowControl/>
              <w:spacing w:line="320" w:lineRule="exact"/>
              <w:jc w:val="left"/>
              <w:rPr>
                <w:rFonts w:hAnsi="宋体" w:cs="宋体"/>
                <w:kern w:val="0"/>
                <w:sz w:val="21"/>
                <w:szCs w:val="21"/>
              </w:rPr>
            </w:pPr>
            <w:r>
              <w:rPr>
                <w:rFonts w:hint="eastAsia" w:hAnsi="宋体" w:cs="宋体"/>
                <w:kern w:val="0"/>
                <w:sz w:val="21"/>
                <w:szCs w:val="21"/>
              </w:rPr>
              <w:t>2、运维所需的所有运维工具，包括但不限于人字梯、三脚架、工具箱、发电机、抽水机、冲锋舟等。</w:t>
            </w:r>
          </w:p>
        </w:tc>
        <w:tc>
          <w:tcPr>
            <w:tcW w:w="759"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项</w:t>
            </w:r>
          </w:p>
        </w:tc>
        <w:tc>
          <w:tcPr>
            <w:tcW w:w="759" w:type="dxa"/>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524" w:type="dxa"/>
            <w:shd w:val="clear" w:color="auto" w:fill="auto"/>
            <w:vAlign w:val="center"/>
          </w:tcPr>
          <w:p>
            <w:pPr>
              <w:widowControl/>
              <w:spacing w:line="320" w:lineRule="exact"/>
              <w:jc w:val="center"/>
              <w:rPr>
                <w:rFonts w:hAnsi="宋体" w:cs="宋体"/>
                <w:kern w:val="0"/>
                <w:sz w:val="21"/>
                <w:szCs w:val="21"/>
              </w:rPr>
            </w:pPr>
          </w:p>
        </w:tc>
      </w:tr>
    </w:tbl>
    <w:p>
      <w:pPr>
        <w:ind w:firstLine="480" w:firstLineChars="200"/>
      </w:pPr>
      <w:r>
        <w:rPr>
          <w:rFonts w:hint="eastAsia"/>
        </w:rPr>
        <w:t>在项目运维服务期间，中标方应按月度做好备件出入库盘点工作，相关盘点结果在月度报告中体现。</w:t>
      </w:r>
    </w:p>
    <w:p>
      <w:pPr>
        <w:pStyle w:val="5"/>
        <w:numPr>
          <w:ilvl w:val="2"/>
          <w:numId w:val="72"/>
        </w:numPr>
      </w:pPr>
      <w:bookmarkStart w:id="131" w:name="_Toc30102"/>
      <w:r>
        <w:rPr>
          <w:rFonts w:hint="eastAsia"/>
        </w:rPr>
        <w:t>运维资源要求（项号18）</w:t>
      </w:r>
      <w:bookmarkEnd w:id="131"/>
    </w:p>
    <w:p>
      <w:pPr>
        <w:pStyle w:val="6"/>
        <w:numPr>
          <w:ilvl w:val="3"/>
          <w:numId w:val="72"/>
        </w:numPr>
        <w:rPr>
          <w:color w:val="auto"/>
        </w:rPr>
      </w:pPr>
      <w:r>
        <w:rPr>
          <w:rFonts w:hint="eastAsia"/>
          <w:color w:val="auto"/>
        </w:rPr>
        <w:t>应用运维工具的要求</w:t>
      </w:r>
    </w:p>
    <w:p>
      <w:pPr>
        <w:ind w:firstLine="480" w:firstLineChars="200"/>
        <w:rPr>
          <w:rFonts w:hAnsi="宋体" w:cs="Arial"/>
        </w:rPr>
      </w:pPr>
      <w:r>
        <w:rPr>
          <w:rFonts w:hint="eastAsia" w:hAnsi="宋体" w:cs="Arial"/>
        </w:rPr>
        <w:t>（1）应用已有的监控工具对运行维护服务对象进行数据的采集和监控，评估可能导致运行维护服务对象故障的因素；</w:t>
      </w:r>
    </w:p>
    <w:p>
      <w:pPr>
        <w:ind w:firstLine="480" w:firstLineChars="200"/>
        <w:rPr>
          <w:rFonts w:hAnsi="宋体" w:cs="Arial"/>
        </w:rPr>
      </w:pPr>
      <w:r>
        <w:rPr>
          <w:rFonts w:hint="eastAsia" w:hAnsi="宋体" w:cs="Arial"/>
        </w:rPr>
        <w:t>（2）过程管理工具，按照管理运行维护服务的交付过程，过程管理工具宜包括日常运行维护管理、记录、测量、监督和评估等功能；</w:t>
      </w:r>
    </w:p>
    <w:p>
      <w:pPr>
        <w:ind w:firstLine="480" w:firstLineChars="200"/>
        <w:rPr>
          <w:rFonts w:hAnsi="宋体" w:cs="Arial"/>
        </w:rPr>
      </w:pPr>
      <w:r>
        <w:rPr>
          <w:rFonts w:hint="eastAsia" w:hAnsi="宋体" w:cs="Arial"/>
        </w:rPr>
        <w:t>（3）专用工具，根据服务要求配备的安全工具和用于特殊要求的工具。</w:t>
      </w:r>
    </w:p>
    <w:p>
      <w:pPr>
        <w:pStyle w:val="6"/>
        <w:numPr>
          <w:ilvl w:val="3"/>
          <w:numId w:val="72"/>
        </w:numPr>
        <w:rPr>
          <w:color w:val="auto"/>
        </w:rPr>
      </w:pPr>
      <w:r>
        <w:rPr>
          <w:rFonts w:hint="eastAsia"/>
          <w:color w:val="auto"/>
        </w:rPr>
        <w:t>联络服务要求</w:t>
      </w:r>
    </w:p>
    <w:p>
      <w:pPr>
        <w:ind w:firstLine="480" w:firstLineChars="200"/>
        <w:rPr>
          <w:rFonts w:hAnsi="宋体" w:cs="Arial"/>
        </w:rPr>
      </w:pPr>
      <w:r>
        <w:rPr>
          <w:rFonts w:hint="eastAsia" w:hAnsi="宋体" w:cs="Arial"/>
        </w:rPr>
        <w:t>（1）建立联络服务管理制度，有专人负责处理服务请求；</w:t>
      </w:r>
    </w:p>
    <w:p>
      <w:pPr>
        <w:ind w:firstLine="480" w:firstLineChars="200"/>
        <w:rPr>
          <w:rFonts w:hAnsi="宋体" w:cs="Arial"/>
        </w:rPr>
      </w:pPr>
      <w:r>
        <w:rPr>
          <w:rFonts w:hint="eastAsia" w:hAnsi="宋体" w:cs="Arial"/>
        </w:rPr>
        <w:t>（2）设置专门的沟通渠道作为与需方的联络点，沟通渠道可以是热线电话、传真、网站、电子邮箱等；</w:t>
      </w:r>
    </w:p>
    <w:p>
      <w:pPr>
        <w:ind w:firstLine="480" w:firstLineChars="200"/>
        <w:rPr>
          <w:rFonts w:hAnsi="宋体" w:cs="Arial"/>
        </w:rPr>
      </w:pPr>
      <w:r>
        <w:rPr>
          <w:rFonts w:hint="eastAsia" w:hAnsi="宋体" w:cs="Arial"/>
        </w:rPr>
        <w:t>（3）制定服务台的职能说明、服务台管理制度、服务流程、操作手册，并保存用户评价记录；</w:t>
      </w:r>
    </w:p>
    <w:p>
      <w:pPr>
        <w:ind w:firstLine="480" w:firstLineChars="200"/>
        <w:rPr>
          <w:rFonts w:hAnsi="宋体" w:cs="Arial"/>
        </w:rPr>
      </w:pPr>
      <w:r>
        <w:rPr>
          <w:rFonts w:hint="eastAsia" w:hAnsi="宋体" w:cs="Arial"/>
        </w:rPr>
        <w:t>（4）针对沟通渠道整合服务过程，建立管理制度，包括服务请求的接收、记录、跟踪和反馈等机制，以及日常工作的监督和考核。</w:t>
      </w:r>
    </w:p>
    <w:p>
      <w:pPr>
        <w:pStyle w:val="6"/>
        <w:numPr>
          <w:ilvl w:val="3"/>
          <w:numId w:val="72"/>
        </w:numPr>
        <w:rPr>
          <w:color w:val="auto"/>
        </w:rPr>
      </w:pPr>
      <w:r>
        <w:rPr>
          <w:rFonts w:hint="eastAsia"/>
          <w:color w:val="auto"/>
        </w:rPr>
        <w:t>备品备件管理要求</w:t>
      </w:r>
    </w:p>
    <w:p>
      <w:pPr>
        <w:pStyle w:val="135"/>
        <w:numPr>
          <w:ilvl w:val="1"/>
          <w:numId w:val="132"/>
        </w:numPr>
        <w:ind w:left="0" w:firstLine="420" w:firstLineChars="175"/>
        <w:rPr>
          <w:rFonts w:hAnsi="宋体" w:cs="Arial"/>
        </w:rPr>
      </w:pPr>
      <w:r>
        <w:rPr>
          <w:rFonts w:hint="eastAsia" w:hAnsi="宋体" w:cs="Arial"/>
        </w:rPr>
        <w:t>备品备件响应方式和级别定义，能够满足服务目录所约定的备件支持；</w:t>
      </w:r>
    </w:p>
    <w:p>
      <w:pPr>
        <w:pStyle w:val="135"/>
        <w:numPr>
          <w:ilvl w:val="1"/>
          <w:numId w:val="132"/>
        </w:numPr>
        <w:ind w:left="0" w:firstLine="420" w:firstLineChars="175"/>
        <w:rPr>
          <w:rFonts w:hAnsi="宋体" w:cs="Arial"/>
        </w:rPr>
      </w:pPr>
      <w:r>
        <w:rPr>
          <w:rFonts w:hint="eastAsia" w:hAnsi="宋体" w:cs="Arial"/>
        </w:rPr>
        <w:t>制定备品备件库管理规范，包括：备品备件响应方式和级别定义、备品备件的数量和类型、类别与编码、存放环境；</w:t>
      </w:r>
    </w:p>
    <w:p>
      <w:pPr>
        <w:pStyle w:val="135"/>
        <w:numPr>
          <w:ilvl w:val="1"/>
          <w:numId w:val="132"/>
        </w:numPr>
        <w:ind w:left="0" w:firstLine="420" w:firstLineChars="175"/>
        <w:rPr>
          <w:rFonts w:hAnsi="宋体" w:cs="Arial"/>
        </w:rPr>
      </w:pPr>
      <w:r>
        <w:rPr>
          <w:rFonts w:hint="eastAsia" w:hAnsi="宋体" w:cs="Arial"/>
        </w:rPr>
        <w:t>制定备品备件采购计划或方案，包括采购人员职责、采购流程、库存策略、紧急采购预案等。制定供应商管理制度，至少每年对供应商进行一次评估；</w:t>
      </w:r>
    </w:p>
    <w:p>
      <w:pPr>
        <w:pStyle w:val="135"/>
        <w:numPr>
          <w:ilvl w:val="1"/>
          <w:numId w:val="132"/>
        </w:numPr>
        <w:ind w:left="0" w:firstLine="420" w:firstLineChars="175"/>
        <w:rPr>
          <w:rFonts w:hAnsi="宋体" w:cs="Arial"/>
        </w:rPr>
      </w:pPr>
      <w:r>
        <w:rPr>
          <w:rFonts w:hint="eastAsia" w:hAnsi="宋体" w:cs="Arial"/>
        </w:rPr>
        <w:t>备品备件供应商管理：能够规范备件的采购过程，对供应商进行选择和评价；</w:t>
      </w:r>
    </w:p>
    <w:p>
      <w:pPr>
        <w:pStyle w:val="135"/>
        <w:numPr>
          <w:ilvl w:val="1"/>
          <w:numId w:val="132"/>
        </w:numPr>
        <w:ind w:left="0" w:firstLine="420" w:firstLineChars="175"/>
        <w:rPr>
          <w:rFonts w:hAnsi="宋体" w:cs="Arial"/>
        </w:rPr>
      </w:pPr>
      <w:r>
        <w:rPr>
          <w:rFonts w:hint="eastAsia" w:hAnsi="宋体" w:cs="Arial"/>
        </w:rPr>
        <w:t>制定出入库制度，包括送货、验收、入库、出库等的流程，并实施，具有备件库存管理的记录或报告；</w:t>
      </w:r>
    </w:p>
    <w:p>
      <w:pPr>
        <w:pStyle w:val="135"/>
        <w:numPr>
          <w:ilvl w:val="1"/>
          <w:numId w:val="132"/>
        </w:numPr>
        <w:ind w:left="0" w:firstLine="420" w:firstLineChars="175"/>
        <w:rPr>
          <w:rFonts w:hAnsi="宋体" w:cs="Arial"/>
        </w:rPr>
      </w:pPr>
      <w:r>
        <w:rPr>
          <w:rFonts w:hint="eastAsia" w:hAnsi="宋体" w:cs="Arial"/>
        </w:rPr>
        <w:t>制定备品备件的检测、报废制度，能定期对备件状态进行检测，以确保其功能满足运维需求。对涉及国家强制规定检定设备须送专业机构检测并获得检测报告。</w:t>
      </w:r>
    </w:p>
    <w:p>
      <w:pPr>
        <w:pStyle w:val="6"/>
        <w:numPr>
          <w:ilvl w:val="3"/>
          <w:numId w:val="72"/>
        </w:numPr>
        <w:rPr>
          <w:color w:val="auto"/>
        </w:rPr>
      </w:pPr>
      <w:r>
        <w:rPr>
          <w:rFonts w:hint="eastAsia"/>
          <w:color w:val="auto"/>
        </w:rPr>
        <w:t>知识库要求</w:t>
      </w:r>
    </w:p>
    <w:p>
      <w:pPr>
        <w:pStyle w:val="135"/>
        <w:numPr>
          <w:ilvl w:val="1"/>
          <w:numId w:val="133"/>
        </w:numPr>
        <w:ind w:left="0" w:firstLine="420" w:firstLineChars="175"/>
        <w:rPr>
          <w:rFonts w:hAnsi="宋体" w:cs="Arial"/>
        </w:rPr>
      </w:pPr>
      <w:r>
        <w:rPr>
          <w:rFonts w:hint="eastAsia" w:hAnsi="宋体" w:cs="Arial"/>
        </w:rPr>
        <w:t>应针对常见问题的描述、分析和解决方法建立知识库；</w:t>
      </w:r>
    </w:p>
    <w:p>
      <w:pPr>
        <w:pStyle w:val="135"/>
        <w:numPr>
          <w:ilvl w:val="1"/>
          <w:numId w:val="133"/>
        </w:numPr>
        <w:ind w:left="0" w:firstLine="420" w:firstLineChars="175"/>
        <w:rPr>
          <w:rFonts w:hAnsi="宋体" w:cs="Arial"/>
        </w:rPr>
      </w:pPr>
      <w:r>
        <w:rPr>
          <w:rFonts w:hint="eastAsia" w:hAnsi="宋体" w:cs="Arial"/>
        </w:rPr>
        <w:t>确保整个组织内的知识是可用的、可共享的；</w:t>
      </w:r>
    </w:p>
    <w:p>
      <w:pPr>
        <w:pStyle w:val="135"/>
        <w:numPr>
          <w:ilvl w:val="1"/>
          <w:numId w:val="133"/>
        </w:numPr>
        <w:ind w:left="0" w:firstLine="420" w:firstLineChars="175"/>
        <w:rPr>
          <w:rFonts w:hAnsi="宋体" w:cs="Arial"/>
        </w:rPr>
      </w:pPr>
      <w:r>
        <w:rPr>
          <w:rFonts w:hint="eastAsia" w:hAnsi="宋体" w:cs="Arial"/>
        </w:rPr>
        <w:t>应选择一种合适的知识管理策略；知识库应具备知识的添加、更新和查询功能；</w:t>
      </w:r>
    </w:p>
    <w:p>
      <w:pPr>
        <w:pStyle w:val="135"/>
        <w:numPr>
          <w:ilvl w:val="1"/>
          <w:numId w:val="133"/>
        </w:numPr>
        <w:ind w:left="0" w:firstLine="420" w:firstLineChars="175"/>
        <w:rPr>
          <w:rFonts w:hAnsi="宋体" w:cs="Arial"/>
        </w:rPr>
      </w:pPr>
      <w:r>
        <w:rPr>
          <w:rFonts w:hint="eastAsia" w:hAnsi="宋体" w:cs="Arial"/>
        </w:rPr>
        <w:t>应针对知识管理要求制定相关管理制度，并进行知识生命周期管理，知识管理的角色应落实到具体人员；</w:t>
      </w:r>
    </w:p>
    <w:p>
      <w:pPr>
        <w:pStyle w:val="135"/>
        <w:numPr>
          <w:ilvl w:val="1"/>
          <w:numId w:val="133"/>
        </w:numPr>
        <w:ind w:left="0" w:firstLine="420" w:firstLineChars="175"/>
        <w:rPr>
          <w:rFonts w:hAnsi="宋体" w:cs="Arial"/>
        </w:rPr>
      </w:pPr>
      <w:r>
        <w:rPr>
          <w:rFonts w:hint="eastAsia" w:hAnsi="宋体" w:cs="Arial"/>
        </w:rPr>
        <w:t>制定知识库使用手册，并保留知识维护记录（添加、更新等）；</w:t>
      </w:r>
    </w:p>
    <w:p>
      <w:pPr>
        <w:pStyle w:val="135"/>
        <w:numPr>
          <w:ilvl w:val="1"/>
          <w:numId w:val="133"/>
        </w:numPr>
        <w:ind w:left="0" w:firstLine="420" w:firstLineChars="175"/>
        <w:rPr>
          <w:rFonts w:hAnsi="宋体" w:cs="Arial"/>
        </w:rPr>
      </w:pPr>
      <w:r>
        <w:rPr>
          <w:rFonts w:hint="eastAsia" w:hAnsi="宋体" w:cs="Arial"/>
        </w:rPr>
        <w:t>具有知识管理策略，包括知识来源、类别、共享范围、更新升级、传播方式等。</w:t>
      </w:r>
    </w:p>
    <w:p>
      <w:pPr>
        <w:pStyle w:val="9"/>
        <w:sectPr>
          <w:pgSz w:w="11906" w:h="16838"/>
          <w:pgMar w:top="1418" w:right="1134" w:bottom="1418" w:left="1701" w:header="851" w:footer="992" w:gutter="0"/>
          <w:cols w:space="425" w:num="1"/>
          <w:docGrid w:type="lines" w:linePitch="436" w:charSpace="195"/>
        </w:sectPr>
      </w:pPr>
    </w:p>
    <w:p>
      <w:pPr>
        <w:pStyle w:val="9"/>
        <w:numPr>
          <w:ilvl w:val="6"/>
          <w:numId w:val="72"/>
        </w:numPr>
      </w:pPr>
      <w:bookmarkStart w:id="132" w:name="_Toc1525"/>
      <w:r>
        <w:rPr>
          <w:rFonts w:hint="eastAsia"/>
        </w:rPr>
        <w:t>工具耗材交付、运维服务考核、服务实施计划</w:t>
      </w:r>
      <w:bookmarkEnd w:id="132"/>
    </w:p>
    <w:p>
      <w:pPr>
        <w:pStyle w:val="3"/>
        <w:numPr>
          <w:ilvl w:val="0"/>
          <w:numId w:val="72"/>
        </w:numPr>
        <w:rPr>
          <w:color w:val="auto"/>
        </w:rPr>
      </w:pPr>
    </w:p>
    <w:p>
      <w:pPr>
        <w:pStyle w:val="4"/>
        <w:numPr>
          <w:ilvl w:val="1"/>
          <w:numId w:val="72"/>
        </w:numPr>
      </w:pPr>
      <w:bookmarkStart w:id="133" w:name="_Toc4458"/>
      <w:r>
        <w:rPr>
          <w:rFonts w:hint="eastAsia"/>
        </w:rPr>
        <w:t>工具耗材、文件交付要求</w:t>
      </w:r>
      <w:bookmarkEnd w:id="133"/>
    </w:p>
    <w:p>
      <w:pPr>
        <w:pStyle w:val="5"/>
        <w:numPr>
          <w:ilvl w:val="2"/>
          <w:numId w:val="72"/>
        </w:numPr>
      </w:pPr>
      <w:bookmarkStart w:id="134" w:name="_Toc12352"/>
      <w:r>
        <w:rPr>
          <w:rFonts w:hint="eastAsia"/>
        </w:rPr>
        <w:t>维护工具仪器和办公耗材</w:t>
      </w:r>
      <w:bookmarkEnd w:id="134"/>
    </w:p>
    <w:p>
      <w:pPr>
        <w:ind w:firstLine="480" w:firstLineChars="200"/>
        <w:rPr>
          <w:rFonts w:hAnsi="宋体" w:cs="Arial"/>
        </w:rPr>
      </w:pPr>
      <w:r>
        <w:rPr>
          <w:rFonts w:hint="eastAsia" w:hAnsi="宋体" w:cs="Arial"/>
        </w:rPr>
        <w:t>中标方应至少提供一年内正常维护使用所需的维护工具及办公耗材。</w:t>
      </w:r>
    </w:p>
    <w:p>
      <w:pPr>
        <w:pStyle w:val="5"/>
        <w:numPr>
          <w:ilvl w:val="2"/>
          <w:numId w:val="72"/>
        </w:numPr>
      </w:pPr>
      <w:bookmarkStart w:id="135" w:name="_Toc32011"/>
      <w:r>
        <w:rPr>
          <w:rFonts w:hint="eastAsia"/>
        </w:rPr>
        <w:t>文件要求</w:t>
      </w:r>
      <w:bookmarkEnd w:id="135"/>
    </w:p>
    <w:p>
      <w:pPr>
        <w:ind w:firstLine="480" w:firstLineChars="200"/>
        <w:rPr>
          <w:rFonts w:hAnsi="宋体" w:cs="Arial"/>
        </w:rPr>
      </w:pPr>
      <w:r>
        <w:rPr>
          <w:rFonts w:hint="eastAsia" w:hAnsi="宋体" w:cs="Arial"/>
        </w:rPr>
        <w:t>中标方应提供云计算中心基础设施运行维护中各类技术文件和记录表格。中标方提供的技术资料应是能确保云计算中心基础设施运行维护所需的管理、运营、及维护等有关的全套技术资料。</w:t>
      </w:r>
    </w:p>
    <w:p>
      <w:pPr>
        <w:ind w:firstLine="480" w:firstLineChars="200"/>
        <w:rPr>
          <w:rFonts w:hAnsi="宋体" w:cs="Arial"/>
        </w:rPr>
      </w:pPr>
    </w:p>
    <w:p>
      <w:pPr>
        <w:pStyle w:val="4"/>
        <w:numPr>
          <w:ilvl w:val="1"/>
          <w:numId w:val="72"/>
        </w:numPr>
      </w:pPr>
      <w:bookmarkStart w:id="136" w:name="_Toc5109"/>
      <w:r>
        <w:rPr>
          <w:rFonts w:hint="eastAsia"/>
        </w:rPr>
        <w:t>运维服务考核要求</w:t>
      </w:r>
      <w:bookmarkEnd w:id="136"/>
    </w:p>
    <w:p>
      <w:pPr>
        <w:ind w:firstLine="480" w:firstLineChars="200"/>
        <w:rPr>
          <w:rFonts w:hAnsi="宋体" w:cs="Arial"/>
        </w:rPr>
      </w:pPr>
      <w:r>
        <w:rPr>
          <w:rFonts w:hint="eastAsia" w:hAnsi="宋体" w:cs="Arial"/>
        </w:rPr>
        <w:t>甲方根据中标方提供的服务内容以及甲方的检查结果共同对中标方所提供的服务进行评估(每半年一次</w:t>
      </w:r>
      <w:r>
        <w:rPr>
          <w:rFonts w:hAnsi="宋体" w:cs="Arial"/>
        </w:rPr>
        <w:t>)</w:t>
      </w:r>
      <w:r>
        <w:rPr>
          <w:rFonts w:hint="eastAsia" w:hAnsi="宋体" w:cs="Arial"/>
        </w:rPr>
        <w:t>，以评估结果作为扣减基本服务费的依据，并在应向中标方支付服务费时予以扣减。</w:t>
      </w:r>
    </w:p>
    <w:p>
      <w:pPr>
        <w:ind w:firstLine="480" w:firstLineChars="200"/>
        <w:rPr>
          <w:rFonts w:hAnsi="宋体" w:cs="Arial"/>
        </w:rPr>
      </w:pPr>
      <w:r>
        <w:rPr>
          <w:rFonts w:hint="eastAsia" w:hAnsi="宋体" w:cs="Arial"/>
        </w:rPr>
        <w:t>中标方每个月需以书面形式向甲方提供云计算中心（政务云）运行情况报告，每个季度提供云计算中心（政务云）运行情况总体评估报告，云计算中心（政务云）如出现应急事件，需提供应急事件处置总结报告。</w:t>
      </w:r>
    </w:p>
    <w:p>
      <w:pPr>
        <w:ind w:firstLine="480" w:firstLineChars="200"/>
        <w:rPr>
          <w:rFonts w:hAnsi="宋体" w:cs="Arial"/>
        </w:rPr>
      </w:pPr>
      <w:r>
        <w:rPr>
          <w:rFonts w:hint="eastAsia" w:hAnsi="宋体" w:cs="Arial"/>
        </w:rPr>
        <w:t>半年服务考核总分为100分，分为日常考核和事件考核两个部分，日常考核设置为满分1</w:t>
      </w:r>
      <w:r>
        <w:rPr>
          <w:rFonts w:hAnsi="宋体" w:cs="Arial"/>
        </w:rPr>
        <w:t>00</w:t>
      </w:r>
      <w:r>
        <w:rPr>
          <w:rFonts w:hint="eastAsia" w:hAnsi="宋体" w:cs="Arial"/>
        </w:rPr>
        <w:t>分逐项考核扣减，事件考核设置为额外附加扣分项，即：半年服务考核总分=日常考核得分数</w:t>
      </w:r>
      <w:r>
        <w:rPr>
          <w:rFonts w:hAnsi="宋体" w:cs="Arial"/>
        </w:rPr>
        <w:t>-</w:t>
      </w:r>
      <w:r>
        <w:rPr>
          <w:rFonts w:hint="eastAsia" w:hAnsi="宋体" w:cs="Arial"/>
        </w:rPr>
        <w:t>事件考核扣分数。</w:t>
      </w:r>
    </w:p>
    <w:p>
      <w:pPr>
        <w:pStyle w:val="5"/>
        <w:numPr>
          <w:ilvl w:val="2"/>
          <w:numId w:val="72"/>
        </w:numPr>
      </w:pPr>
      <w:bookmarkStart w:id="137" w:name="_Toc11207"/>
      <w:r>
        <w:rPr>
          <w:rFonts w:hint="eastAsia"/>
        </w:rPr>
        <w:t>日常考核办法</w:t>
      </w:r>
      <w:bookmarkEnd w:id="137"/>
    </w:p>
    <w:p>
      <w:pPr>
        <w:ind w:firstLine="480" w:firstLineChars="200"/>
        <w:rPr>
          <w:rFonts w:hAnsi="宋体" w:cs="Arial"/>
        </w:rPr>
      </w:pPr>
      <w:r>
        <w:rPr>
          <w:rFonts w:hint="eastAsia" w:hAnsi="宋体" w:cs="Arial"/>
        </w:rPr>
        <w:t>日常考核满分100分。</w:t>
      </w:r>
    </w:p>
    <w:p>
      <w:pPr>
        <w:ind w:firstLine="480" w:firstLineChars="200"/>
        <w:rPr>
          <w:rFonts w:hAnsi="宋体" w:cs="Arial"/>
        </w:rPr>
      </w:pPr>
      <w:r>
        <w:rPr>
          <w:rFonts w:hint="eastAsia" w:hAnsi="宋体" w:cs="Arial"/>
        </w:rPr>
        <w:t>服务购买合同签订后从第二季度起，每季度初（一般为季度第一个月上旬）向甲方提交前一个季度的服务内容和服务质量总结报告，每半年进行一次考核，根据半年内每个月的服务完成情况根据下表详细事项进行评分。最后所有服务项目得分总和即为半年期日常考核分。</w:t>
      </w:r>
    </w:p>
    <w:p>
      <w:pPr>
        <w:ind w:firstLine="480" w:firstLineChars="200"/>
        <w:rPr>
          <w:rFonts w:hAnsi="宋体" w:cs="Arial"/>
        </w:rPr>
      </w:pPr>
      <w:r>
        <w:rPr>
          <w:rFonts w:hint="eastAsia" w:hAnsi="宋体" w:cs="Arial"/>
        </w:rPr>
        <w:t>具体如下表所示：</w:t>
      </w:r>
    </w:p>
    <w:p>
      <w:pPr>
        <w:pStyle w:val="11"/>
        <w:numPr>
          <w:ilvl w:val="8"/>
          <w:numId w:val="72"/>
        </w:numPr>
      </w:pPr>
      <w:bookmarkStart w:id="138" w:name="_Toc165045321"/>
      <w:r>
        <w:rPr>
          <w:rFonts w:hint="eastAsia"/>
        </w:rPr>
        <w:t>日常考核评分表</w:t>
      </w:r>
      <w:bookmarkEnd w:id="138"/>
    </w:p>
    <w:tbl>
      <w:tblPr>
        <w:tblStyle w:val="75"/>
        <w:tblW w:w="9049" w:type="dxa"/>
        <w:tblInd w:w="0" w:type="dxa"/>
        <w:tblLayout w:type="autofit"/>
        <w:tblCellMar>
          <w:top w:w="0" w:type="dxa"/>
          <w:left w:w="108" w:type="dxa"/>
          <w:bottom w:w="0" w:type="dxa"/>
          <w:right w:w="108" w:type="dxa"/>
        </w:tblCellMar>
      </w:tblPr>
      <w:tblGrid>
        <w:gridCol w:w="686"/>
        <w:gridCol w:w="1276"/>
        <w:gridCol w:w="1276"/>
        <w:gridCol w:w="1559"/>
        <w:gridCol w:w="3480"/>
        <w:gridCol w:w="772"/>
      </w:tblGrid>
      <w:tr>
        <w:tblPrEx>
          <w:tblCellMar>
            <w:top w:w="0" w:type="dxa"/>
            <w:left w:w="108" w:type="dxa"/>
            <w:bottom w:w="0" w:type="dxa"/>
            <w:right w:w="108" w:type="dxa"/>
          </w:tblCellMar>
        </w:tblPrEx>
        <w:trPr>
          <w:tblHeader/>
        </w:trPr>
        <w:tc>
          <w:tcPr>
            <w:tcW w:w="686" w:type="dxa"/>
            <w:tcBorders>
              <w:top w:val="double" w:color="auto" w:sz="6" w:space="0"/>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2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名称</w:t>
            </w:r>
          </w:p>
        </w:tc>
        <w:tc>
          <w:tcPr>
            <w:tcW w:w="1276"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服务项目</w:t>
            </w:r>
          </w:p>
        </w:tc>
        <w:tc>
          <w:tcPr>
            <w:tcW w:w="1559"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服务分项</w:t>
            </w:r>
          </w:p>
        </w:tc>
        <w:tc>
          <w:tcPr>
            <w:tcW w:w="3480"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服务标准</w:t>
            </w:r>
          </w:p>
        </w:tc>
        <w:tc>
          <w:tcPr>
            <w:tcW w:w="772"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分值</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总体运行</w:t>
            </w: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基础设施运行报告</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提供每月基础设施运行报告</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每月10日前提交上一个月运行报告，对每月数据中心基础设施各专业系统、设备运行管理进行分析、总结</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1、未完整提交半年内月度运行报告的，扣3分</w:t>
            </w:r>
          </w:p>
          <w:p>
            <w:pPr>
              <w:widowControl/>
              <w:spacing w:line="360" w:lineRule="exact"/>
              <w:rPr>
                <w:rFonts w:hAnsi="宋体" w:cs="宋体"/>
                <w:kern w:val="0"/>
                <w:sz w:val="21"/>
                <w:szCs w:val="21"/>
              </w:rPr>
            </w:pPr>
            <w:r>
              <w:rPr>
                <w:rFonts w:hint="eastAsia" w:hAnsi="宋体" w:cs="宋体"/>
                <w:kern w:val="0"/>
                <w:sz w:val="21"/>
                <w:szCs w:val="21"/>
              </w:rPr>
              <w:t>2、每个月报告内容不完整的，每次扣1分，扣完为止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设备运行完好情况</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所有基础设施设备运行完好情况</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设备运行完好情况，包括但不限于电气系统、通风空调系统、消防系统、智能化系统相关的设备正常运行情况，应提供每月检查报告、故障情况及修复时间（修复承诺期限），做好记录并保存备查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1、未完整提交半年内每月检查报告、故障情况及修复时间记录的，扣3分</w:t>
            </w:r>
          </w:p>
          <w:p>
            <w:pPr>
              <w:widowControl/>
              <w:spacing w:line="360" w:lineRule="exact"/>
              <w:rPr>
                <w:rFonts w:hAnsi="宋体" w:cs="宋体"/>
                <w:kern w:val="0"/>
                <w:sz w:val="21"/>
                <w:szCs w:val="21"/>
              </w:rPr>
            </w:pPr>
            <w:r>
              <w:rPr>
                <w:rFonts w:hint="eastAsia" w:hAnsi="宋体" w:cs="宋体"/>
                <w:kern w:val="0"/>
                <w:sz w:val="21"/>
                <w:szCs w:val="21"/>
              </w:rPr>
              <w:t>2、存在对故障情况及修复时间，未记录并上报的，扣3分</w:t>
            </w:r>
          </w:p>
          <w:p>
            <w:pPr>
              <w:widowControl/>
              <w:spacing w:line="360" w:lineRule="exact"/>
              <w:rPr>
                <w:rFonts w:hAnsi="宋体" w:cs="宋体"/>
                <w:kern w:val="0"/>
                <w:sz w:val="21"/>
                <w:szCs w:val="21"/>
              </w:rPr>
            </w:pPr>
            <w:r>
              <w:rPr>
                <w:rFonts w:hint="eastAsia" w:hAnsi="宋体" w:cs="宋体"/>
                <w:kern w:val="0"/>
                <w:sz w:val="21"/>
                <w:szCs w:val="21"/>
              </w:rPr>
              <w:t>3、每个月报告内容不完整的，每次扣1分，扣完为止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日常监控巡检</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日常值班监控</w:t>
            </w: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7×24小时日常值班监控</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每季度根据项目实际情况合理制定值班监控制度及方案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1、未提供值班监控制度及方案的，扣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2、每季度值班监控制度及方案与实际情况不符的，每次扣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7×24小时按照要求进行现场值守，填写值班记录并保存备查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1、未按要求完整提供值班记录的，扣3分</w:t>
            </w:r>
          </w:p>
          <w:p>
            <w:pPr>
              <w:widowControl/>
              <w:spacing w:line="360" w:lineRule="exact"/>
              <w:rPr>
                <w:rFonts w:hAnsi="宋体" w:cs="宋体"/>
                <w:kern w:val="0"/>
                <w:sz w:val="21"/>
                <w:szCs w:val="21"/>
              </w:rPr>
            </w:pPr>
            <w:r>
              <w:rPr>
                <w:rFonts w:hint="eastAsia" w:hAnsi="宋体" w:cs="宋体"/>
                <w:kern w:val="0"/>
                <w:sz w:val="21"/>
                <w:szCs w:val="21"/>
              </w:rPr>
              <w:t>2、日常情况下，值守工程师少于要求的(白班3人、晚班2人</w:t>
            </w:r>
            <w:r>
              <w:rPr>
                <w:rFonts w:hAnsi="宋体" w:cs="宋体"/>
                <w:kern w:val="0"/>
                <w:sz w:val="21"/>
                <w:szCs w:val="21"/>
              </w:rPr>
              <w:t>)</w:t>
            </w:r>
            <w:r>
              <w:rPr>
                <w:rFonts w:hint="eastAsia" w:hAnsi="宋体" w:cs="宋体"/>
                <w:kern w:val="0"/>
                <w:sz w:val="21"/>
                <w:szCs w:val="21"/>
              </w:rPr>
              <w:t>，每发现1次扣1分，无人值守的一次性扣</w:t>
            </w:r>
            <w:r>
              <w:rPr>
                <w:rFonts w:hAnsi="宋体" w:cs="宋体"/>
                <w:kern w:val="0"/>
                <w:sz w:val="21"/>
                <w:szCs w:val="21"/>
              </w:rPr>
              <w:t>5</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每月完成工作质量自查并保存自查记录备查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1、未完整提交半年内每月工作质量自查记录的，扣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2、每个月工作质量自查记录内容不完整的，每次扣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日常巡检</w:t>
            </w: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电气系统巡检</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每季度根据现场情况合理制定巡检计划及巡检方案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1、未提供巡检计划及巡检方案的，扣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2、每季度巡检计划及巡检方案与实际情况不符的，每次扣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按计划与方案进行巡检，填写巡检记录并保存备查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1、少执行一次巡检检测的，每次扣1分，扣完为止</w:t>
            </w:r>
          </w:p>
          <w:p>
            <w:pPr>
              <w:widowControl/>
              <w:spacing w:line="360" w:lineRule="exact"/>
              <w:rPr>
                <w:rFonts w:hAnsi="宋体" w:cs="宋体"/>
                <w:kern w:val="0"/>
                <w:sz w:val="21"/>
                <w:szCs w:val="21"/>
              </w:rPr>
            </w:pPr>
            <w:r>
              <w:rPr>
                <w:rFonts w:hint="eastAsia" w:hAnsi="宋体" w:cs="宋体"/>
                <w:kern w:val="0"/>
                <w:sz w:val="21"/>
                <w:szCs w:val="21"/>
              </w:rPr>
              <w:t>2、巡检报告未及时提交或巡检报告内容不完整的，每次扣1分，扣完为止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每月完成工作质量自查并保存自查记录备查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1、未完整提交半年内每月工作质量自查记录的，扣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2、每个月工作质量自查记录内容不完整的，每次扣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通风空调系统巡检</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每季度根据现场情况合理制定巡检计划及巡检方案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1、未提供巡检计划及巡检方案的，扣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2、每季度巡检计划及巡检方案与实际情况不符的，每次扣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按计划与方案进行巡检，填写巡检记录并保存备查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1、少执行一次巡检检测的，每次扣1分，扣完为止</w:t>
            </w:r>
          </w:p>
          <w:p>
            <w:pPr>
              <w:widowControl/>
              <w:spacing w:line="360" w:lineRule="exact"/>
              <w:rPr>
                <w:rFonts w:hAnsi="宋体" w:cs="宋体"/>
                <w:kern w:val="0"/>
                <w:sz w:val="21"/>
                <w:szCs w:val="21"/>
              </w:rPr>
            </w:pPr>
            <w:r>
              <w:rPr>
                <w:rFonts w:hint="eastAsia" w:hAnsi="宋体" w:cs="宋体"/>
                <w:kern w:val="0"/>
                <w:sz w:val="21"/>
                <w:szCs w:val="21"/>
              </w:rPr>
              <w:t>2、巡检报告未及时提交或巡检报告内容不完整的，每次扣1分，扣完为止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每月完成工作质量自查并保存自查记录备查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1、未完整提交半年内每月工作质量自查记录的，扣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2、每个月工作质量自查记录内容不完整的，每次扣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消防系统巡检</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每季度根据现场情况合理制定消防系统巡检计划及巡检方案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1、未提供巡检计划及巡检方案的，扣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2、每季度巡检计划及巡检方案与实际情况不符的，每次扣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按计划与方案进行巡检，填写巡检记录并保存备查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1、少执行一次巡检检测的，每次扣1分，扣完为止</w:t>
            </w:r>
          </w:p>
          <w:p>
            <w:pPr>
              <w:widowControl/>
              <w:spacing w:line="360" w:lineRule="exact"/>
              <w:rPr>
                <w:rFonts w:hAnsi="宋体" w:cs="宋体"/>
                <w:kern w:val="0"/>
                <w:sz w:val="21"/>
                <w:szCs w:val="21"/>
              </w:rPr>
            </w:pPr>
            <w:r>
              <w:rPr>
                <w:rFonts w:hint="eastAsia" w:hAnsi="宋体" w:cs="宋体"/>
                <w:kern w:val="0"/>
                <w:sz w:val="21"/>
                <w:szCs w:val="21"/>
              </w:rPr>
              <w:t>2、巡检报告未及时提交或巡检报告内容不完整的，每次扣1分，扣完为止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每月完成工作质量自查并保存自查记录备查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1、未完整提交半年内每月工作质量自查记录的，扣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2、每个月工作质量自查记录内容不完整的，每次扣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智能化系统巡检</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每季度根据现场情况合理制定安防系统巡检计划及巡检方案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1、未提供巡检计划及巡检方案的，扣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2、每季度巡检计划及巡检方案与实际情况不符的，每次扣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按计划与方案进行巡检，填写巡检记录并保存备查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1、少执行一次巡检检测的，每次扣1分，扣完为止</w:t>
            </w:r>
          </w:p>
          <w:p>
            <w:pPr>
              <w:widowControl/>
              <w:spacing w:line="360" w:lineRule="exact"/>
              <w:rPr>
                <w:rFonts w:hAnsi="宋体" w:cs="宋体"/>
                <w:kern w:val="0"/>
                <w:sz w:val="21"/>
                <w:szCs w:val="21"/>
              </w:rPr>
            </w:pPr>
            <w:r>
              <w:rPr>
                <w:rFonts w:hint="eastAsia" w:hAnsi="宋体" w:cs="宋体"/>
                <w:kern w:val="0"/>
                <w:sz w:val="21"/>
                <w:szCs w:val="21"/>
              </w:rPr>
              <w:t>2、巡检报告未及时提交或巡检报告内容不完整的，每次扣1分，扣完为止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每月完成工作质量自查并保存自查记录备查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1、未完整提交半年内每月工作质量自查记录的，扣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2、每个月工作质量自查记录内容不完整的，每次扣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技术支撑保障</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预防性维护管理</w:t>
            </w: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电气系统维护</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每季度根据项目实际情况合理制定维护、保养计划</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1、未提供维护、保养计划的，扣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2、每季度维护、保养计划与实际情况不符的，每次扣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按计划完成维护、保养工作，填写维护、保养记录并保存备查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1、少执行一次维护、保养的，每次扣1分，扣完为止</w:t>
            </w:r>
          </w:p>
          <w:p>
            <w:pPr>
              <w:widowControl/>
              <w:spacing w:line="360" w:lineRule="exact"/>
              <w:rPr>
                <w:rFonts w:hAnsi="宋体" w:cs="宋体"/>
                <w:kern w:val="0"/>
                <w:sz w:val="21"/>
                <w:szCs w:val="21"/>
              </w:rPr>
            </w:pPr>
            <w:r>
              <w:rPr>
                <w:rFonts w:hint="eastAsia" w:hAnsi="宋体" w:cs="宋体"/>
                <w:kern w:val="0"/>
                <w:sz w:val="21"/>
                <w:szCs w:val="21"/>
              </w:rPr>
              <w:t>2、维护、保养记录未及时提交或维护、保养记录内容不完整的，每次扣1分，扣完为止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维护、保养方案及结果评估保存备查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1、未完整提交半年内每月维护、保养方案及结果评估的，扣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2、每个月维护、保养方案及结果评估内容不完整的，每次扣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通风空调系统维护</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每季度根据项目实际情况合理制定维护、保养计划</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1、未提供维护、保养计划的，扣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2、每季度维护、保养计划与实际情况不符的，每次扣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按计划完成维护、保养工作，填写维护、保养记录并保存备查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1、少执行一次维护、保养的，每次扣1分，扣完为止</w:t>
            </w:r>
          </w:p>
          <w:p>
            <w:pPr>
              <w:widowControl/>
              <w:spacing w:line="360" w:lineRule="exact"/>
              <w:rPr>
                <w:rFonts w:hAnsi="宋体" w:cs="宋体"/>
                <w:kern w:val="0"/>
                <w:sz w:val="21"/>
                <w:szCs w:val="21"/>
              </w:rPr>
            </w:pPr>
            <w:r>
              <w:rPr>
                <w:rFonts w:hint="eastAsia" w:hAnsi="宋体" w:cs="宋体"/>
                <w:kern w:val="0"/>
                <w:sz w:val="21"/>
                <w:szCs w:val="21"/>
              </w:rPr>
              <w:t>2、维护、保养记录未及时提交或维护、保养记录内容不完整的，每次扣1分，扣完为止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维护、保养方案及结果评估保存备查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1、未完整提交半年内每月维护、保养方案及结果评估的，扣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2、每个月维护、保养方案及结果评估内容不完整的，每次扣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消防系统维护</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每季度根据项目实际情况合理制定维护、保养及测试计划</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1、未提供维护、保养计划的，扣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2、每季度维护、保养计划与实际情况不符的，每次扣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按计划完成维护、保养及测试工作，填写维护、保养及测试记录并保存备查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1、少执行一次维护、保养的，每次扣1分，扣完为止</w:t>
            </w:r>
          </w:p>
          <w:p>
            <w:pPr>
              <w:widowControl/>
              <w:spacing w:line="360" w:lineRule="exact"/>
              <w:rPr>
                <w:rFonts w:hAnsi="宋体" w:cs="宋体"/>
                <w:kern w:val="0"/>
                <w:sz w:val="21"/>
                <w:szCs w:val="21"/>
              </w:rPr>
            </w:pPr>
            <w:r>
              <w:rPr>
                <w:rFonts w:hint="eastAsia" w:hAnsi="宋体" w:cs="宋体"/>
                <w:kern w:val="0"/>
                <w:sz w:val="21"/>
                <w:szCs w:val="21"/>
              </w:rPr>
              <w:t>2、维护、保养记录未及时提交或维护、保养记录内容不完整的，每次扣1分，扣完为止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维护、保养及测试方案和结果评估保存备查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1、未完整提交半年内每月维护、保养方案及结果评估的，扣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2、每个月维护、保养方案及结果评估内容不完整的，每次扣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智能化系统维护</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每季度根据项目实际情况合理制定维护、保养及测试计划</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1、未提供维护、保养计划的，扣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2、每季度维护、保养计划与实际情况不符的，每次扣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按计划完成维护、保养及测试工作，填写维护、保养及测试记录并保存备查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1、少执行一次维护、保养的，每次扣1分，扣完为止</w:t>
            </w:r>
          </w:p>
          <w:p>
            <w:pPr>
              <w:widowControl/>
              <w:spacing w:line="360" w:lineRule="exact"/>
              <w:rPr>
                <w:rFonts w:hAnsi="宋体" w:cs="宋体"/>
                <w:kern w:val="0"/>
                <w:sz w:val="21"/>
                <w:szCs w:val="21"/>
              </w:rPr>
            </w:pPr>
            <w:r>
              <w:rPr>
                <w:rFonts w:hint="eastAsia" w:hAnsi="宋体" w:cs="宋体"/>
                <w:kern w:val="0"/>
                <w:sz w:val="21"/>
                <w:szCs w:val="21"/>
              </w:rPr>
              <w:t>2、维护、保养记录未及时提交或维护、保养记录内容不完整的，每次扣1分，扣完为止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5</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维护、保养及测试方案和结果评估保存备查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1、未完整提交半年内每月维护、保养方案及结果评估的，扣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2、每个月维护、保养方案及结果评估内容不完整的，每次扣</w:t>
            </w:r>
            <w:r>
              <w:rPr>
                <w:rFonts w:hAnsi="宋体" w:cs="宋体"/>
                <w:kern w:val="0"/>
                <w:sz w:val="21"/>
                <w:szCs w:val="21"/>
              </w:rPr>
              <w:t>0.5</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Ansi="宋体" w:cs="宋体"/>
                <w:kern w:val="0"/>
                <w:sz w:val="21"/>
                <w:szCs w:val="21"/>
              </w:rPr>
              <w:t>1</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故障处置及应急响应</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故障处置及应急响应</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根据项目实际情况合理制定故障处理流程及通报机制，按要求填写故障处理工单并留存备查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1、故障响应及处理服务，未在规定时间内响应及处理的，一般故障每次扣1分，严重故障每次扣2分，重大故障每次扣</w:t>
            </w:r>
            <w:r>
              <w:rPr>
                <w:rFonts w:hAnsi="宋体" w:cs="宋体"/>
                <w:kern w:val="0"/>
                <w:sz w:val="21"/>
                <w:szCs w:val="21"/>
              </w:rPr>
              <w:t>3</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2、重大故障还应提交详尽的原因分析及记录，未提交的每次扣3分</w:t>
            </w:r>
          </w:p>
          <w:p>
            <w:pPr>
              <w:widowControl/>
              <w:spacing w:line="360" w:lineRule="exact"/>
              <w:rPr>
                <w:rFonts w:hAnsi="宋体" w:cs="宋体"/>
                <w:kern w:val="0"/>
                <w:sz w:val="21"/>
                <w:szCs w:val="21"/>
              </w:rPr>
            </w:pPr>
            <w:r>
              <w:rPr>
                <w:rFonts w:hint="eastAsia" w:hAnsi="宋体" w:cs="宋体"/>
                <w:kern w:val="0"/>
                <w:sz w:val="21"/>
                <w:szCs w:val="21"/>
              </w:rPr>
              <w:t>3、未完整提交故障处理工单记录的，每次扣1分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应急预案及演练管理</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基础设施应急预案及演练</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根据数据中心各模块专业系统实际情况制定机房基础设施应急预案和演练计划，并按计划在征求甲方及客户同意的前提下组织演练。应急预案、演练计划和演练记录保存备查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Ansi="宋体" w:cs="宋体"/>
                <w:kern w:val="0"/>
                <w:sz w:val="21"/>
                <w:szCs w:val="21"/>
              </w:rPr>
              <w:t>1</w:t>
            </w:r>
            <w:r>
              <w:rPr>
                <w:rFonts w:hint="eastAsia" w:hAnsi="宋体" w:cs="宋体"/>
                <w:kern w:val="0"/>
                <w:sz w:val="21"/>
                <w:szCs w:val="21"/>
              </w:rPr>
              <w:t>、未制定应急预案和演练计划的，扣3分</w:t>
            </w:r>
          </w:p>
          <w:p>
            <w:pPr>
              <w:widowControl/>
              <w:spacing w:line="360" w:lineRule="exact"/>
              <w:rPr>
                <w:rFonts w:hAnsi="宋体" w:cs="宋体"/>
                <w:kern w:val="0"/>
                <w:sz w:val="21"/>
                <w:szCs w:val="21"/>
              </w:rPr>
            </w:pPr>
            <w:r>
              <w:rPr>
                <w:rFonts w:hAnsi="宋体" w:cs="宋体"/>
                <w:kern w:val="0"/>
                <w:sz w:val="21"/>
                <w:szCs w:val="21"/>
              </w:rPr>
              <w:t>2</w:t>
            </w:r>
            <w:r>
              <w:rPr>
                <w:rFonts w:hint="eastAsia" w:hAnsi="宋体" w:cs="宋体"/>
                <w:kern w:val="0"/>
                <w:sz w:val="21"/>
                <w:szCs w:val="21"/>
              </w:rPr>
              <w:t>、未按要求开展应急演练的，扣3分</w:t>
            </w:r>
          </w:p>
          <w:p>
            <w:pPr>
              <w:widowControl/>
              <w:spacing w:line="360" w:lineRule="exact"/>
              <w:rPr>
                <w:rFonts w:hAnsi="宋体" w:cs="宋体"/>
                <w:kern w:val="0"/>
                <w:sz w:val="21"/>
                <w:szCs w:val="21"/>
              </w:rPr>
            </w:pPr>
            <w:r>
              <w:rPr>
                <w:rFonts w:hAnsi="宋体" w:cs="宋体"/>
                <w:kern w:val="0"/>
                <w:sz w:val="21"/>
                <w:szCs w:val="21"/>
              </w:rPr>
              <w:t>3</w:t>
            </w:r>
            <w:r>
              <w:rPr>
                <w:rFonts w:hint="eastAsia" w:hAnsi="宋体" w:cs="宋体"/>
                <w:kern w:val="0"/>
                <w:sz w:val="21"/>
                <w:szCs w:val="21"/>
              </w:rPr>
              <w:t>、制定应急预案和演练计划可操作性强，询问维护人员，回答熟练，掌握情况良好，未达到要求的扣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4、未完整提交应急演练记录的，每次扣1分，扣完为止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restart"/>
            <w:tcBorders>
              <w:top w:val="nil"/>
              <w:left w:val="double" w:color="auto" w:sz="6" w:space="0"/>
              <w:bottom w:val="single" w:color="000000" w:sz="8"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276" w:type="dxa"/>
            <w:vMerge w:val="restart"/>
            <w:tcBorders>
              <w:top w:val="nil"/>
              <w:left w:val="single" w:color="auto" w:sz="4" w:space="0"/>
              <w:bottom w:val="single" w:color="000000" w:sz="8"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综合管理</w:t>
            </w: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总体能耗分析及容量管理</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基础设施运行能耗分析并针对性优化</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根据数据中心运行不同阶段合理制定各系统运行方案，每月10日前提交上一月度能耗分析报告，建立能耗分析制度并对数据中心运行及时进行优化，确保数据中心PUE指标合理，能耗优化记录保存并备查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1、未完整提交半年内每月能耗分析报告的，扣</w:t>
            </w:r>
            <w:r>
              <w:rPr>
                <w:rFonts w:hAnsi="宋体" w:cs="宋体"/>
                <w:kern w:val="0"/>
                <w:sz w:val="21"/>
                <w:szCs w:val="21"/>
              </w:rPr>
              <w:t>3</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2、每月未及时根据分析报告开展能耗优化或提出能耗优化建议措施的，每次扣1分，扣完为止</w:t>
            </w:r>
          </w:p>
          <w:p>
            <w:pPr>
              <w:widowControl/>
              <w:spacing w:line="360" w:lineRule="exact"/>
              <w:rPr>
                <w:rFonts w:hAnsi="宋体" w:cs="宋体"/>
                <w:kern w:val="0"/>
                <w:sz w:val="21"/>
                <w:szCs w:val="21"/>
              </w:rPr>
            </w:pPr>
            <w:r>
              <w:rPr>
                <w:rFonts w:hint="eastAsia" w:hAnsi="宋体" w:cs="宋体"/>
                <w:kern w:val="0"/>
                <w:sz w:val="21"/>
                <w:szCs w:val="21"/>
              </w:rPr>
              <w:t>3、每个月能耗分析报告内容不完整的，每次扣</w:t>
            </w:r>
            <w:r>
              <w:rPr>
                <w:rFonts w:hAnsi="宋体" w:cs="宋体"/>
                <w:kern w:val="0"/>
                <w:sz w:val="21"/>
                <w:szCs w:val="21"/>
              </w:rPr>
              <w:t>1</w:t>
            </w:r>
            <w:r>
              <w:rPr>
                <w:rFonts w:hint="eastAsia" w:hAnsi="宋体" w:cs="宋体"/>
                <w:kern w:val="0"/>
                <w:sz w:val="21"/>
                <w:szCs w:val="21"/>
              </w:rPr>
              <w:t>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对机房容量进行管理并提供布局建议</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建立机房供电、制冷和空间容量管理流程并遵照执行，流程文档、活动记录和容量管理清单保存备查，及时为采购方机房布局提供建议方案</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1、未建立机房供电、制冷和空间容量管理流程的，扣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Ansi="宋体" w:cs="宋体"/>
                <w:kern w:val="0"/>
                <w:sz w:val="21"/>
                <w:szCs w:val="21"/>
              </w:rPr>
              <w:t>2</w:t>
            </w:r>
            <w:r>
              <w:rPr>
                <w:rFonts w:hint="eastAsia" w:hAnsi="宋体" w:cs="宋体"/>
                <w:kern w:val="0"/>
                <w:sz w:val="21"/>
                <w:szCs w:val="21"/>
              </w:rPr>
              <w:t>、未遵照执行，并形成流程文档、活动记录和容量管理清单保存备查的，扣</w:t>
            </w:r>
            <w:r>
              <w:rPr>
                <w:rFonts w:hAnsi="宋体" w:cs="宋体"/>
                <w:kern w:val="0"/>
                <w:sz w:val="21"/>
                <w:szCs w:val="21"/>
              </w:rPr>
              <w:t>1</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3、未及时为采购方机房布局提供建议方案的，每次扣1分，扣完为止</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资产相关管理</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资产（配置）管理</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建立资产（配置）管理流程并遵照执行，资产（配置）管理流程文档、资产（配置）管理清单和资产（配置）管理流程活动记录保存并备查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1、未建立资产（配置）管理流程的，扣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2、未遵照执行，并形成资产（配置）管理流程文档、资产（配置）管理清单和资产（配置）管理流程活动记录保存并备查的，扣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auto" w:sz="4" w:space="0"/>
              <w:right w:val="single" w:color="auto" w:sz="4" w:space="0"/>
            </w:tcBorders>
            <w:vAlign w:val="center"/>
          </w:tcPr>
          <w:p>
            <w:pPr>
              <w:widowControl/>
              <w:spacing w:line="360" w:lineRule="exact"/>
              <w:jc w:val="left"/>
              <w:rPr>
                <w:rFonts w:hAnsi="宋体" w:cs="宋体"/>
                <w:kern w:val="0"/>
                <w:sz w:val="21"/>
                <w:szCs w:val="21"/>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供应商管理</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建立机房基础设施相关第三方供应商管理流程，流程文档、活动记录、年度合格供应商目录和供应商行为记录卡保存备查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1、未建立机房基础设施相关第三方供应商管理流程的，扣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2、未遵照执行，并形成流程文档、活动记录、年度合格供应商目录和供应商行为记录卡保存备查的，扣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变更管理</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对项目所有变更进行管控</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建立变更管理流程并遵照执行，流程文档、活动记录和变更管理工单备查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1、未建立变更管理流程的，扣</w:t>
            </w:r>
            <w:r>
              <w:rPr>
                <w:rFonts w:hAnsi="宋体" w:cs="宋体"/>
                <w:kern w:val="0"/>
                <w:sz w:val="21"/>
                <w:szCs w:val="21"/>
              </w:rPr>
              <w:t>2</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2、未遵照执行，并形成流程文档、活动记录和变更管理工单备查的，扣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r>
        <w:tblPrEx>
          <w:tblCellMar>
            <w:top w:w="0" w:type="dxa"/>
            <w:left w:w="108" w:type="dxa"/>
            <w:bottom w:w="0" w:type="dxa"/>
            <w:right w:w="108" w:type="dxa"/>
          </w:tblCellMar>
        </w:tblPrEx>
        <w:tc>
          <w:tcPr>
            <w:tcW w:w="686" w:type="dxa"/>
            <w:vMerge w:val="continue"/>
            <w:tcBorders>
              <w:top w:val="nil"/>
              <w:left w:val="double" w:color="auto" w:sz="6"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single" w:color="000000" w:sz="8" w:space="0"/>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nil"/>
              <w:left w:val="single" w:color="auto" w:sz="4" w:space="0"/>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安全管理</w:t>
            </w:r>
          </w:p>
        </w:tc>
        <w:tc>
          <w:tcPr>
            <w:tcW w:w="1559"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对基础设施所有安全工作进行管理</w:t>
            </w:r>
          </w:p>
        </w:tc>
        <w:tc>
          <w:tcPr>
            <w:tcW w:w="3480" w:type="dxa"/>
            <w:tcBorders>
              <w:top w:val="nil"/>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建立场地安全、消防安全、运维网络安全、运维信息系统安全等管理办法和措施，日常安全管理活动及措施记录备查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1、未建立场地安全、消防安全、运维网络安全、运维信息系统安全等管理办法和措施的，扣</w:t>
            </w:r>
            <w:r>
              <w:rPr>
                <w:rFonts w:hAnsi="宋体" w:cs="宋体"/>
                <w:kern w:val="0"/>
                <w:sz w:val="21"/>
                <w:szCs w:val="21"/>
              </w:rPr>
              <w:t>3</w:t>
            </w:r>
            <w:r>
              <w:rPr>
                <w:rFonts w:hint="eastAsia" w:hAnsi="宋体" w:cs="宋体"/>
                <w:kern w:val="0"/>
                <w:sz w:val="21"/>
                <w:szCs w:val="21"/>
              </w:rPr>
              <w:t>分</w:t>
            </w:r>
          </w:p>
          <w:p>
            <w:pPr>
              <w:widowControl/>
              <w:spacing w:line="360" w:lineRule="exact"/>
              <w:rPr>
                <w:rFonts w:hAnsi="宋体" w:cs="宋体"/>
                <w:kern w:val="0"/>
                <w:sz w:val="21"/>
                <w:szCs w:val="21"/>
              </w:rPr>
            </w:pPr>
            <w:r>
              <w:rPr>
                <w:rFonts w:hint="eastAsia" w:hAnsi="宋体" w:cs="宋体"/>
                <w:kern w:val="0"/>
                <w:sz w:val="21"/>
                <w:szCs w:val="21"/>
              </w:rPr>
              <w:t>2、未遵照执行，并形成日常安全管理活动及措施记录备查的，扣</w:t>
            </w:r>
            <w:r>
              <w:rPr>
                <w:rFonts w:hAnsi="宋体" w:cs="宋体"/>
                <w:kern w:val="0"/>
                <w:sz w:val="21"/>
                <w:szCs w:val="21"/>
              </w:rPr>
              <w:t>1</w:t>
            </w:r>
            <w:r>
              <w:rPr>
                <w:rFonts w:hint="eastAsia" w:hAnsi="宋体" w:cs="宋体"/>
                <w:kern w:val="0"/>
                <w:sz w:val="21"/>
                <w:szCs w:val="21"/>
              </w:rPr>
              <w:t>分</w:t>
            </w:r>
          </w:p>
        </w:tc>
        <w:tc>
          <w:tcPr>
            <w:tcW w:w="772" w:type="dxa"/>
            <w:tcBorders>
              <w:top w:val="nil"/>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r>
      <w:tr>
        <w:tblPrEx>
          <w:tblCellMar>
            <w:top w:w="0" w:type="dxa"/>
            <w:left w:w="108" w:type="dxa"/>
            <w:bottom w:w="0" w:type="dxa"/>
            <w:right w:w="108" w:type="dxa"/>
          </w:tblCellMar>
        </w:tblPrEx>
        <w:tc>
          <w:tcPr>
            <w:tcW w:w="686" w:type="dxa"/>
            <w:vMerge w:val="continue"/>
            <w:tcBorders>
              <w:top w:val="nil"/>
              <w:left w:val="double" w:color="auto" w:sz="6" w:space="0"/>
              <w:bottom w:val="nil"/>
              <w:right w:val="single" w:color="auto" w:sz="4" w:space="0"/>
            </w:tcBorders>
            <w:vAlign w:val="center"/>
          </w:tcPr>
          <w:p>
            <w:pPr>
              <w:widowControl/>
              <w:spacing w:line="360" w:lineRule="exact"/>
              <w:jc w:val="left"/>
              <w:rPr>
                <w:rFonts w:hAnsi="宋体" w:cs="宋体"/>
                <w:kern w:val="0"/>
                <w:sz w:val="21"/>
                <w:szCs w:val="21"/>
              </w:rPr>
            </w:pPr>
          </w:p>
        </w:tc>
        <w:tc>
          <w:tcPr>
            <w:tcW w:w="1276" w:type="dxa"/>
            <w:vMerge w:val="continue"/>
            <w:tcBorders>
              <w:top w:val="nil"/>
              <w:left w:val="single" w:color="auto" w:sz="4" w:space="0"/>
              <w:bottom w:val="nil"/>
              <w:right w:val="single" w:color="auto" w:sz="4" w:space="0"/>
            </w:tcBorders>
            <w:vAlign w:val="center"/>
          </w:tcPr>
          <w:p>
            <w:pPr>
              <w:widowControl/>
              <w:spacing w:line="360" w:lineRule="exact"/>
              <w:jc w:val="left"/>
              <w:rPr>
                <w:rFonts w:hAnsi="宋体" w:cs="宋体"/>
                <w:kern w:val="0"/>
                <w:sz w:val="21"/>
                <w:szCs w:val="21"/>
              </w:rPr>
            </w:pPr>
          </w:p>
        </w:tc>
        <w:tc>
          <w:tcPr>
            <w:tcW w:w="1276"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技术手册文档及其他文件</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技术手册文档及其他文件</w:t>
            </w:r>
          </w:p>
        </w:tc>
        <w:tc>
          <w:tcPr>
            <w:tcW w:w="3480"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exact"/>
              <w:rPr>
                <w:rFonts w:hAnsi="宋体" w:cs="宋体"/>
                <w:kern w:val="0"/>
                <w:sz w:val="21"/>
                <w:szCs w:val="21"/>
              </w:rPr>
            </w:pPr>
            <w:r>
              <w:rPr>
                <w:rFonts w:hint="eastAsia" w:hAnsi="宋体" w:cs="宋体"/>
                <w:kern w:val="0"/>
                <w:sz w:val="21"/>
                <w:szCs w:val="21"/>
              </w:rPr>
              <w:t>电气、通风空调、消防、智能化专业等技术手册及其他有关制度、流程、操作表单等文件保存备查</w:t>
            </w:r>
          </w:p>
          <w:p>
            <w:pPr>
              <w:widowControl/>
              <w:spacing w:line="360" w:lineRule="exact"/>
              <w:rPr>
                <w:rFonts w:hAnsi="宋体" w:cs="宋体"/>
                <w:kern w:val="0"/>
                <w:sz w:val="21"/>
                <w:szCs w:val="21"/>
              </w:rPr>
            </w:pPr>
            <w:r>
              <w:rPr>
                <w:rFonts w:hint="eastAsia" w:hAnsi="宋体" w:cs="宋体"/>
                <w:kern w:val="0"/>
                <w:sz w:val="21"/>
                <w:szCs w:val="21"/>
              </w:rPr>
              <w:t>考核评分标准：</w:t>
            </w:r>
          </w:p>
          <w:p>
            <w:pPr>
              <w:widowControl/>
              <w:spacing w:line="360" w:lineRule="exact"/>
              <w:rPr>
                <w:rFonts w:hAnsi="宋体" w:cs="宋体"/>
                <w:kern w:val="0"/>
                <w:sz w:val="21"/>
                <w:szCs w:val="21"/>
              </w:rPr>
            </w:pPr>
            <w:r>
              <w:rPr>
                <w:rFonts w:hint="eastAsia" w:hAnsi="宋体" w:cs="宋体"/>
                <w:kern w:val="0"/>
                <w:sz w:val="21"/>
                <w:szCs w:val="21"/>
              </w:rPr>
              <w:t>未建立电气、通风空调、消防、智能化专业等技术手册及其他有关制度、流程、操作表单的，扣</w:t>
            </w:r>
            <w:r>
              <w:rPr>
                <w:rFonts w:hAnsi="宋体" w:cs="宋体"/>
                <w:kern w:val="0"/>
                <w:sz w:val="21"/>
                <w:szCs w:val="21"/>
              </w:rPr>
              <w:t>2</w:t>
            </w:r>
            <w:r>
              <w:rPr>
                <w:rFonts w:hint="eastAsia" w:hAnsi="宋体" w:cs="宋体"/>
                <w:kern w:val="0"/>
                <w:sz w:val="21"/>
                <w:szCs w:val="21"/>
              </w:rPr>
              <w:t>分</w:t>
            </w:r>
          </w:p>
        </w:tc>
        <w:tc>
          <w:tcPr>
            <w:tcW w:w="772" w:type="dxa"/>
            <w:tcBorders>
              <w:top w:val="single" w:color="auto" w:sz="4"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r>
    </w:tbl>
    <w:p>
      <w:pPr>
        <w:ind w:firstLine="480" w:firstLineChars="200"/>
        <w:rPr>
          <w:rFonts w:hAnsi="宋体" w:cs="Arial"/>
        </w:rPr>
      </w:pPr>
      <w:r>
        <w:rPr>
          <w:rFonts w:hint="eastAsia" w:hAnsi="宋体" w:cs="Arial"/>
        </w:rPr>
        <w:t>注：甲方可根据项目实际情况对日常考核得分表的考核标准进行优化调整。</w:t>
      </w:r>
    </w:p>
    <w:p>
      <w:pPr>
        <w:pStyle w:val="5"/>
        <w:numPr>
          <w:ilvl w:val="2"/>
          <w:numId w:val="72"/>
        </w:numPr>
      </w:pPr>
      <w:bookmarkStart w:id="139" w:name="_Toc4430"/>
      <w:r>
        <w:rPr>
          <w:rFonts w:hint="eastAsia"/>
        </w:rPr>
        <w:t>事件考核办法</w:t>
      </w:r>
      <w:bookmarkEnd w:id="139"/>
    </w:p>
    <w:p>
      <w:pPr>
        <w:ind w:firstLine="480" w:firstLineChars="200"/>
        <w:rPr>
          <w:rFonts w:hAnsi="宋体" w:cs="Arial"/>
        </w:rPr>
      </w:pPr>
      <w:r>
        <w:rPr>
          <w:rFonts w:hint="eastAsia" w:hAnsi="宋体" w:cs="Arial"/>
        </w:rPr>
        <w:t>基础设施运维服务责任范围内相关事件主要分为：运维对象故障事件、信息安全事件和生产安全事件。</w:t>
      </w:r>
    </w:p>
    <w:p>
      <w:pPr>
        <w:ind w:firstLine="480" w:firstLineChars="200"/>
        <w:rPr>
          <w:rFonts w:hAnsi="宋体" w:cs="Arial"/>
        </w:rPr>
      </w:pPr>
      <w:r>
        <w:rPr>
          <w:rFonts w:hint="eastAsia" w:hAnsi="宋体" w:cs="Arial"/>
        </w:rPr>
        <w:t>事件考核仅对运维对象故障事件进行考核扣分；若发生信息安全事件，需参照章节3、4相关要求进行处理并根据《信息安全责任转移协议书》相关条款追究责任并奖惩处理；若发生生产安全事件，则需按照《生产安全事故报告和调查处理条例》国务院令第493号、《中华人民共和国安全生产法》（2021年修订颁布）等相关法律法规严肃处理。</w:t>
      </w:r>
    </w:p>
    <w:p>
      <w:pPr>
        <w:ind w:firstLine="480" w:firstLineChars="200"/>
        <w:rPr>
          <w:rFonts w:hAnsi="宋体" w:cs="Arial"/>
        </w:rPr>
      </w:pPr>
      <w:r>
        <w:rPr>
          <w:rFonts w:hint="eastAsia" w:hAnsi="宋体" w:cs="Arial"/>
        </w:rPr>
        <w:t>事件考核满分基数为日常考核得分。当发生故障事件时，当次考核评分将在日常考核分的基础上，根据下述条款逐项对应扣分；日常考核分再扣减事件考核分后为当次考核的最终得分。</w:t>
      </w:r>
    </w:p>
    <w:p>
      <w:pPr>
        <w:pStyle w:val="6"/>
        <w:numPr>
          <w:ilvl w:val="3"/>
          <w:numId w:val="72"/>
        </w:numPr>
        <w:rPr>
          <w:color w:val="auto"/>
        </w:rPr>
      </w:pPr>
      <w:r>
        <w:rPr>
          <w:rFonts w:hint="eastAsia"/>
          <w:color w:val="auto"/>
        </w:rPr>
        <w:t>事件定义</w:t>
      </w:r>
    </w:p>
    <w:p>
      <w:pPr>
        <w:pStyle w:val="135"/>
        <w:numPr>
          <w:ilvl w:val="2"/>
          <w:numId w:val="134"/>
        </w:numPr>
        <w:ind w:left="0" w:firstLine="482"/>
        <w:rPr>
          <w:rFonts w:hAnsi="宋体" w:cs="Arial"/>
          <w:b/>
          <w:bCs/>
        </w:rPr>
      </w:pPr>
      <w:r>
        <w:rPr>
          <w:rFonts w:hint="eastAsia" w:hAnsi="宋体" w:cs="Arial"/>
          <w:b/>
          <w:bCs/>
        </w:rPr>
        <w:t>重大故障事件：</w:t>
      </w:r>
    </w:p>
    <w:p>
      <w:pPr>
        <w:ind w:firstLine="480" w:firstLineChars="200"/>
        <w:rPr>
          <w:rFonts w:hAnsi="宋体" w:cs="Arial"/>
        </w:rPr>
      </w:pPr>
      <w:r>
        <w:rPr>
          <w:rFonts w:hint="eastAsia" w:hAnsi="宋体" w:cs="Arial"/>
        </w:rPr>
        <w:t>以下情况发生任意一种即为重大故障：</w:t>
      </w:r>
    </w:p>
    <w:p>
      <w:pPr>
        <w:pStyle w:val="135"/>
        <w:numPr>
          <w:ilvl w:val="1"/>
          <w:numId w:val="135"/>
        </w:numPr>
        <w:ind w:left="0" w:firstLine="420" w:firstLineChars="175"/>
        <w:rPr>
          <w:rFonts w:hAnsi="宋体" w:cs="Arial"/>
        </w:rPr>
      </w:pPr>
      <w:r>
        <w:rPr>
          <w:rFonts w:hint="eastAsia" w:hAnsi="宋体" w:cs="Arial"/>
        </w:rPr>
        <w:t>数据中心基础设施故障，造成政务云大范围服务中断；</w:t>
      </w:r>
    </w:p>
    <w:p>
      <w:pPr>
        <w:pStyle w:val="135"/>
        <w:numPr>
          <w:ilvl w:val="1"/>
          <w:numId w:val="135"/>
        </w:numPr>
        <w:ind w:left="0" w:firstLine="420" w:firstLineChars="175"/>
        <w:rPr>
          <w:rFonts w:hAnsi="宋体" w:cs="Arial"/>
        </w:rPr>
      </w:pPr>
      <w:r>
        <w:rPr>
          <w:rFonts w:hint="eastAsia" w:hAnsi="宋体" w:cs="Arial"/>
        </w:rPr>
        <w:t>严重故障事件历时超过48小时未能妥善处理，且政务云依然存在大范围业务中断风险或存在个别信息化系统无法正常工作。</w:t>
      </w:r>
    </w:p>
    <w:p>
      <w:pPr>
        <w:pStyle w:val="135"/>
        <w:numPr>
          <w:ilvl w:val="2"/>
          <w:numId w:val="134"/>
        </w:numPr>
        <w:ind w:left="0" w:firstLine="482"/>
        <w:rPr>
          <w:rFonts w:hAnsi="宋体" w:cs="Arial"/>
          <w:b/>
          <w:bCs/>
        </w:rPr>
      </w:pPr>
      <w:r>
        <w:rPr>
          <w:rFonts w:hint="eastAsia" w:hAnsi="宋体" w:cs="Arial"/>
          <w:b/>
          <w:bCs/>
        </w:rPr>
        <w:t>严重故障事件：</w:t>
      </w:r>
    </w:p>
    <w:p>
      <w:pPr>
        <w:ind w:firstLine="480" w:firstLineChars="200"/>
        <w:rPr>
          <w:rFonts w:hAnsi="宋体" w:cs="Arial"/>
        </w:rPr>
      </w:pPr>
      <w:r>
        <w:rPr>
          <w:rFonts w:hint="eastAsia" w:hAnsi="宋体" w:cs="Arial"/>
        </w:rPr>
        <w:t>以下情况发生任意一种即为严重故障：</w:t>
      </w:r>
    </w:p>
    <w:p>
      <w:pPr>
        <w:pStyle w:val="135"/>
        <w:numPr>
          <w:ilvl w:val="1"/>
          <w:numId w:val="136"/>
        </w:numPr>
        <w:ind w:left="0" w:firstLine="420" w:firstLineChars="175"/>
        <w:rPr>
          <w:rFonts w:hAnsi="宋体" w:cs="Arial"/>
        </w:rPr>
      </w:pPr>
      <w:r>
        <w:rPr>
          <w:rFonts w:hint="eastAsia" w:hAnsi="宋体" w:cs="Arial"/>
        </w:rPr>
        <w:t>因数据中心基础设施故障，计算中心所承载IT系统带来严重影响，存在数据中心大范围服务中断风险。</w:t>
      </w:r>
    </w:p>
    <w:p>
      <w:pPr>
        <w:pStyle w:val="135"/>
        <w:numPr>
          <w:ilvl w:val="1"/>
          <w:numId w:val="136"/>
        </w:numPr>
        <w:ind w:left="0" w:firstLine="420" w:firstLineChars="175"/>
        <w:rPr>
          <w:rFonts w:hAnsi="宋体" w:cs="Arial"/>
        </w:rPr>
      </w:pPr>
      <w:r>
        <w:rPr>
          <w:rFonts w:hint="eastAsia" w:hAnsi="宋体" w:cs="Arial"/>
        </w:rPr>
        <w:t>数据中心基础设施故障，影响个别IT设备运行，造成个别承载业务系统中断。</w:t>
      </w:r>
    </w:p>
    <w:p>
      <w:pPr>
        <w:pStyle w:val="135"/>
        <w:numPr>
          <w:ilvl w:val="1"/>
          <w:numId w:val="136"/>
        </w:numPr>
        <w:ind w:left="0" w:firstLine="420" w:firstLineChars="175"/>
        <w:rPr>
          <w:rFonts w:hAnsi="宋体" w:cs="Arial"/>
        </w:rPr>
      </w:pPr>
      <w:r>
        <w:rPr>
          <w:rFonts w:hint="eastAsia" w:hAnsi="宋体" w:cs="Arial"/>
        </w:rPr>
        <w:t>一般故障事件历时超过120分钟未能妥善处理且依然存在个别承载业务系统中断风险。</w:t>
      </w:r>
    </w:p>
    <w:p>
      <w:pPr>
        <w:pStyle w:val="135"/>
        <w:numPr>
          <w:ilvl w:val="2"/>
          <w:numId w:val="134"/>
        </w:numPr>
        <w:ind w:left="0" w:firstLine="482"/>
        <w:rPr>
          <w:rFonts w:hAnsi="宋体" w:cs="Arial"/>
          <w:b/>
          <w:bCs/>
        </w:rPr>
      </w:pPr>
      <w:r>
        <w:rPr>
          <w:rFonts w:hint="eastAsia" w:hAnsi="宋体" w:cs="Arial"/>
          <w:b/>
          <w:bCs/>
        </w:rPr>
        <w:t>一般故障事件：</w:t>
      </w:r>
    </w:p>
    <w:p>
      <w:pPr>
        <w:ind w:firstLine="480" w:firstLineChars="200"/>
        <w:rPr>
          <w:rFonts w:hAnsi="宋体" w:cs="Arial"/>
        </w:rPr>
      </w:pPr>
      <w:r>
        <w:rPr>
          <w:rFonts w:hint="eastAsia" w:hAnsi="宋体" w:cs="Arial"/>
        </w:rPr>
        <w:t>以下情况为一般故障：</w:t>
      </w:r>
    </w:p>
    <w:p>
      <w:pPr>
        <w:pStyle w:val="135"/>
        <w:numPr>
          <w:ilvl w:val="1"/>
          <w:numId w:val="137"/>
        </w:numPr>
        <w:ind w:left="0" w:firstLine="420" w:firstLineChars="175"/>
        <w:rPr>
          <w:rFonts w:hAnsi="宋体" w:cs="Arial"/>
        </w:rPr>
      </w:pPr>
      <w:r>
        <w:rPr>
          <w:rFonts w:hint="eastAsia" w:hAnsi="宋体" w:cs="Arial"/>
        </w:rPr>
        <w:t>数据中心基础设施故障，影响个别IT设备运行，存在个别承载业务系统中断风险；</w:t>
      </w:r>
    </w:p>
    <w:p>
      <w:pPr>
        <w:pStyle w:val="135"/>
        <w:numPr>
          <w:ilvl w:val="1"/>
          <w:numId w:val="137"/>
        </w:numPr>
        <w:ind w:left="0" w:firstLine="420" w:firstLineChars="175"/>
        <w:rPr>
          <w:rFonts w:hAnsi="宋体" w:cs="Arial"/>
        </w:rPr>
      </w:pPr>
      <w:r>
        <w:rPr>
          <w:rFonts w:hint="eastAsia" w:hAnsi="宋体" w:cs="Arial"/>
        </w:rPr>
        <w:t>其他未影响数据中心承载业务的基础设施故障。</w:t>
      </w:r>
    </w:p>
    <w:p>
      <w:pPr>
        <w:pStyle w:val="135"/>
        <w:numPr>
          <w:ilvl w:val="2"/>
          <w:numId w:val="134"/>
        </w:numPr>
        <w:ind w:left="0" w:firstLine="482"/>
        <w:rPr>
          <w:rFonts w:hAnsi="宋体" w:cs="Arial"/>
          <w:b/>
          <w:bCs/>
        </w:rPr>
      </w:pPr>
      <w:r>
        <w:rPr>
          <w:rFonts w:hint="eastAsia" w:hAnsi="宋体" w:cs="Arial"/>
          <w:b/>
          <w:bCs/>
        </w:rPr>
        <w:t>紧急事件：</w:t>
      </w:r>
    </w:p>
    <w:p>
      <w:pPr>
        <w:ind w:firstLine="480" w:firstLineChars="200"/>
        <w:rPr>
          <w:rFonts w:hAnsi="宋体" w:cs="Arial"/>
        </w:rPr>
      </w:pPr>
      <w:r>
        <w:rPr>
          <w:rFonts w:hint="eastAsia" w:hAnsi="宋体" w:cs="Arial"/>
        </w:rPr>
        <w:t>以下情况为紧急事件：</w:t>
      </w:r>
    </w:p>
    <w:p>
      <w:pPr>
        <w:ind w:firstLine="480" w:firstLineChars="200"/>
        <w:rPr>
          <w:rFonts w:hAnsi="宋体" w:cs="Arial"/>
        </w:rPr>
      </w:pPr>
      <w:r>
        <w:rPr>
          <w:rFonts w:hint="eastAsia" w:hAnsi="宋体" w:cs="Arial"/>
        </w:rPr>
        <w:t>数据中心监控出现严重告警、火警、电力告警、某关键基础故障等。</w:t>
      </w:r>
    </w:p>
    <w:p>
      <w:pPr>
        <w:pStyle w:val="6"/>
        <w:numPr>
          <w:ilvl w:val="3"/>
          <w:numId w:val="72"/>
        </w:numPr>
        <w:rPr>
          <w:color w:val="auto"/>
        </w:rPr>
      </w:pPr>
      <w:r>
        <w:rPr>
          <w:rFonts w:hint="eastAsia"/>
          <w:color w:val="auto"/>
        </w:rPr>
        <w:t>事件响应和处理时限</w:t>
      </w:r>
    </w:p>
    <w:p>
      <w:pPr>
        <w:ind w:firstLine="480" w:firstLineChars="200"/>
        <w:rPr>
          <w:rFonts w:hAnsi="宋体" w:cs="Arial"/>
        </w:rPr>
      </w:pPr>
      <w:r>
        <w:rPr>
          <w:rFonts w:hint="eastAsia" w:hAnsi="宋体" w:cs="Arial"/>
        </w:rPr>
        <w:t>针对响应和处理时限，原则上需满足：</w:t>
      </w:r>
    </w:p>
    <w:p>
      <w:pPr>
        <w:pStyle w:val="135"/>
        <w:numPr>
          <w:ilvl w:val="1"/>
          <w:numId w:val="138"/>
        </w:numPr>
        <w:ind w:left="0" w:firstLine="420" w:firstLineChars="175"/>
        <w:rPr>
          <w:rFonts w:hAnsi="宋体" w:cs="Arial"/>
        </w:rPr>
      </w:pPr>
      <w:r>
        <w:rPr>
          <w:rFonts w:hint="eastAsia" w:hAnsi="宋体" w:cs="Arial"/>
        </w:rPr>
        <w:t>一般故障响应，响应时限不超过30分钟；处理时限（个别业务中断风险排除）不超过120分钟；</w:t>
      </w:r>
    </w:p>
    <w:p>
      <w:pPr>
        <w:pStyle w:val="135"/>
        <w:numPr>
          <w:ilvl w:val="1"/>
          <w:numId w:val="138"/>
        </w:numPr>
        <w:ind w:left="0" w:firstLine="420" w:firstLineChars="175"/>
        <w:rPr>
          <w:rFonts w:hAnsi="宋体" w:cs="Arial"/>
        </w:rPr>
      </w:pPr>
      <w:r>
        <w:rPr>
          <w:rFonts w:hint="eastAsia" w:hAnsi="宋体" w:cs="Arial"/>
        </w:rPr>
        <w:t>严重故障响应，响应时限不超过10分钟，一经确认，立刻上报，自故障发生到上报机房负责人时限不得超过15分钟；处理时限（相关风险排除、中断业务恢复）不超过48小时；</w:t>
      </w:r>
    </w:p>
    <w:p>
      <w:pPr>
        <w:pStyle w:val="135"/>
        <w:numPr>
          <w:ilvl w:val="1"/>
          <w:numId w:val="138"/>
        </w:numPr>
        <w:ind w:left="0" w:firstLine="420" w:firstLineChars="175"/>
        <w:rPr>
          <w:rFonts w:hAnsi="宋体" w:cs="Arial"/>
        </w:rPr>
      </w:pPr>
      <w:r>
        <w:rPr>
          <w:rFonts w:hint="eastAsia" w:hAnsi="宋体" w:cs="Arial"/>
        </w:rPr>
        <w:t>重大故障响应，需立即响应，一经确认，立刻上报；处理时限需由甲乙双方协商决定。</w:t>
      </w:r>
    </w:p>
    <w:p>
      <w:pPr>
        <w:pStyle w:val="135"/>
        <w:numPr>
          <w:ilvl w:val="1"/>
          <w:numId w:val="138"/>
        </w:numPr>
        <w:ind w:left="0" w:firstLine="420" w:firstLineChars="175"/>
        <w:rPr>
          <w:rFonts w:hAnsi="宋体" w:cs="Arial"/>
        </w:rPr>
      </w:pPr>
      <w:r>
        <w:rPr>
          <w:rFonts w:hint="eastAsia" w:hAnsi="宋体" w:cs="Arial"/>
        </w:rPr>
        <w:t>如发生紧急事件，造成大面积影响的必须立即采取实际性措施进行抢修维护，直到故障排除为止。</w:t>
      </w:r>
    </w:p>
    <w:p>
      <w:pPr>
        <w:pStyle w:val="6"/>
        <w:numPr>
          <w:ilvl w:val="3"/>
          <w:numId w:val="72"/>
        </w:numPr>
        <w:rPr>
          <w:color w:val="auto"/>
        </w:rPr>
      </w:pPr>
      <w:r>
        <w:rPr>
          <w:rFonts w:hint="eastAsia"/>
          <w:color w:val="auto"/>
        </w:rPr>
        <w:t>事件考核评分</w:t>
      </w:r>
    </w:p>
    <w:p>
      <w:pPr>
        <w:ind w:firstLine="480" w:firstLineChars="200"/>
        <w:rPr>
          <w:rFonts w:hAnsi="宋体" w:cs="Arial"/>
        </w:rPr>
      </w:pPr>
      <w:r>
        <w:rPr>
          <w:rFonts w:hint="eastAsia" w:hAnsi="宋体" w:cs="Arial"/>
        </w:rPr>
        <w:t>（1）事件响应能力分：当出现故障事件时，运维服务团队应在事件响应时限规定内响应；若超过一次事件响应时限，则当季度考核分在日常考核得分的基础上再扣10分。</w:t>
      </w:r>
    </w:p>
    <w:p>
      <w:pPr>
        <w:ind w:firstLine="480" w:firstLineChars="200"/>
        <w:rPr>
          <w:rFonts w:hAnsi="宋体" w:cs="Arial"/>
        </w:rPr>
      </w:pPr>
      <w:r>
        <w:rPr>
          <w:rFonts w:hint="eastAsia" w:hAnsi="宋体" w:cs="Arial"/>
        </w:rPr>
        <w:t>（2）事件处理能力分：当出现故障事件时，运维服务团队应在事件处理时限规定内处理；若超过事件处理时限，应按照相应定义升级故障级别；甲方有权根据故障实际情况、处理难度等客观条件，评估服务单位事件处理能力，酌情扣10-20分或者不扣分。</w:t>
      </w:r>
    </w:p>
    <w:p>
      <w:pPr>
        <w:ind w:firstLine="480" w:firstLineChars="200"/>
        <w:rPr>
          <w:rFonts w:hAnsi="宋体" w:cs="Arial"/>
        </w:rPr>
      </w:pPr>
      <w:r>
        <w:rPr>
          <w:rFonts w:hint="eastAsia" w:hAnsi="宋体" w:cs="Arial"/>
        </w:rPr>
        <w:t>（3）故障责任分：当故障事件排除后，省经济信息中心将组织专家对故障原因进行分析定责。若故障定责的主要责任为基础设施运维团队，则当季度考核分在已计算服务考核得分的基础上再扣10分；若故障定责基础设施运维团队负次要责任，则当季度考核分在已计算服务考核得分的基础上扣5分；若定责为其他单位（如设计单位、施工单位、产品供应商、市政单位或者其他不可抗力等），则季度考核不再扣分。</w:t>
      </w:r>
    </w:p>
    <w:p>
      <w:pPr>
        <w:ind w:firstLine="480" w:firstLineChars="200"/>
        <w:rPr>
          <w:rFonts w:hAnsi="宋体" w:cs="Arial"/>
        </w:rPr>
      </w:pPr>
      <w:r>
        <w:rPr>
          <w:rFonts w:hint="eastAsia" w:hAnsi="宋体" w:cs="Arial"/>
        </w:rPr>
        <w:t>（4）当出现重大故障事件时，数据中心已经发生了无法挽回的重大损失，运维服务团队应及时响应并处理。业务单位与服务提供单位以及相关主管单位应共同针对事故进行责任评估，季度服务考核分数由多方商议决定；若因运维服务提供商主要责任引起的故障或运维服务提供商技术和管理能力导致的重大故障事故无法及时修复，季度服务考核分数可以直接扣为零分。</w:t>
      </w:r>
    </w:p>
    <w:p>
      <w:pPr>
        <w:ind w:firstLine="480" w:firstLineChars="200"/>
        <w:rPr>
          <w:rFonts w:hAnsi="宋体" w:cs="Arial"/>
        </w:rPr>
      </w:pPr>
      <w:r>
        <w:rPr>
          <w:rFonts w:hint="eastAsia" w:hAnsi="宋体" w:cs="Arial"/>
        </w:rPr>
        <w:t>（5）若因为运维服务团队责任引起严重故障和重大故障造成甲方经济或声誉损失的，甲方有权立即终止运维服务合约，并依法向服务提供方索赔。</w:t>
      </w:r>
    </w:p>
    <w:p>
      <w:pPr>
        <w:pStyle w:val="5"/>
        <w:numPr>
          <w:ilvl w:val="2"/>
          <w:numId w:val="72"/>
        </w:numPr>
      </w:pPr>
      <w:bookmarkStart w:id="140" w:name="_Toc20915"/>
      <w:r>
        <w:rPr>
          <w:rFonts w:hint="eastAsia"/>
        </w:rPr>
        <w:t>服务考核支付标准</w:t>
      </w:r>
      <w:bookmarkEnd w:id="140"/>
    </w:p>
    <w:p>
      <w:pPr>
        <w:ind w:firstLine="480" w:firstLineChars="200"/>
        <w:rPr>
          <w:rFonts w:hAnsi="宋体" w:cs="Arial"/>
        </w:rPr>
      </w:pPr>
      <w:r>
        <w:rPr>
          <w:rFonts w:hint="eastAsia" w:hAnsi="宋体" w:cs="Arial"/>
        </w:rPr>
        <w:t>云计算中心（政务云）运维服务考核总分为100分，甲方通过日常考核和事件考核两个部分对提供中标方的运维服务进行综合考核评分，中标方最终服务考核分取上下半年两次服务考核分的平均值，即最终服务考核分=(上半年考核分+下半年考核分)÷</w:t>
      </w:r>
      <w:r>
        <w:rPr>
          <w:rFonts w:hAnsi="宋体" w:cs="Arial"/>
        </w:rPr>
        <w:t>2</w:t>
      </w:r>
      <w:r>
        <w:rPr>
          <w:rFonts w:hint="eastAsia" w:hAnsi="宋体" w:cs="Arial"/>
        </w:rPr>
        <w:t>，并按照“服务考核分付费标准</w:t>
      </w:r>
      <w:r>
        <w:rPr>
          <w:rFonts w:hAnsi="宋体" w:cs="Arial"/>
        </w:rPr>
        <w:t>”</w:t>
      </w:r>
      <w:r>
        <w:rPr>
          <w:rFonts w:hint="eastAsia" w:hAnsi="宋体" w:cs="Arial"/>
        </w:rPr>
        <w:t>确定最终服务费的支付比例。</w:t>
      </w:r>
    </w:p>
    <w:p>
      <w:pPr>
        <w:ind w:firstLine="480" w:firstLineChars="200"/>
        <w:rPr>
          <w:rFonts w:hAnsi="宋体" w:cs="Arial"/>
        </w:rPr>
      </w:pPr>
      <w:r>
        <w:rPr>
          <w:rFonts w:hint="eastAsia" w:hAnsi="宋体" w:cs="Arial"/>
        </w:rPr>
        <w:t>服务考核分付费标准如下表所示：</w:t>
      </w:r>
    </w:p>
    <w:p>
      <w:pPr>
        <w:pStyle w:val="11"/>
        <w:numPr>
          <w:ilvl w:val="8"/>
          <w:numId w:val="72"/>
        </w:numPr>
      </w:pPr>
      <w:bookmarkStart w:id="141" w:name="_Toc165045322"/>
      <w:r>
        <w:rPr>
          <w:rFonts w:hint="eastAsia"/>
        </w:rPr>
        <w:t>服务考核分付费标准</w:t>
      </w:r>
      <w:bookmarkEnd w:id="141"/>
    </w:p>
    <w:tbl>
      <w:tblPr>
        <w:tblStyle w:val="75"/>
        <w:tblW w:w="5000"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4065"/>
        <w:gridCol w:w="42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tcBorders>
              <w:top w:val="double" w:color="auto" w:sz="4" w:space="0"/>
              <w:left w:val="double" w:color="auto" w:sz="4" w:space="0"/>
              <w:bottom w:val="single" w:color="auto" w:sz="4" w:space="0"/>
              <w:right w:val="single" w:color="auto" w:sz="4" w:space="0"/>
            </w:tcBorders>
            <w:shd w:val="clear" w:color="auto" w:fill="auto"/>
            <w:vAlign w:val="center"/>
          </w:tcPr>
          <w:p>
            <w:pPr>
              <w:pStyle w:val="1748"/>
              <w:snapToGrid/>
              <w:spacing w:line="360" w:lineRule="exact"/>
              <w:jc w:val="center"/>
              <w:rPr>
                <w:rFonts w:ascii="宋体" w:hAnsi="宋体"/>
                <w:b w:val="0"/>
              </w:rPr>
            </w:pPr>
            <w:r>
              <w:rPr>
                <w:rFonts w:hint="eastAsia" w:ascii="宋体" w:hAnsi="宋体"/>
              </w:rPr>
              <w:t>序号</w:t>
            </w:r>
          </w:p>
        </w:tc>
        <w:tc>
          <w:tcPr>
            <w:tcW w:w="4065" w:type="dxa"/>
            <w:tcBorders>
              <w:top w:val="double" w:color="auto" w:sz="4" w:space="0"/>
              <w:bottom w:val="single" w:color="auto" w:sz="4" w:space="0"/>
              <w:right w:val="single" w:color="auto" w:sz="4" w:space="0"/>
            </w:tcBorders>
            <w:shd w:val="clear" w:color="auto" w:fill="auto"/>
            <w:vAlign w:val="center"/>
          </w:tcPr>
          <w:p>
            <w:pPr>
              <w:pStyle w:val="1748"/>
              <w:snapToGrid/>
              <w:spacing w:line="360" w:lineRule="exact"/>
              <w:jc w:val="center"/>
              <w:rPr>
                <w:rFonts w:ascii="宋体" w:hAnsi="宋体"/>
                <w:b w:val="0"/>
              </w:rPr>
            </w:pPr>
            <w:r>
              <w:rPr>
                <w:rFonts w:hint="eastAsia" w:ascii="宋体" w:hAnsi="宋体"/>
              </w:rPr>
              <w:t>服务考核得分</w:t>
            </w:r>
          </w:p>
        </w:tc>
        <w:tc>
          <w:tcPr>
            <w:tcW w:w="4220" w:type="dxa"/>
            <w:tcBorders>
              <w:top w:val="double" w:color="auto" w:sz="4" w:space="0"/>
              <w:bottom w:val="single" w:color="auto" w:sz="4" w:space="0"/>
              <w:right w:val="double" w:color="auto" w:sz="4" w:space="0"/>
            </w:tcBorders>
            <w:shd w:val="clear" w:color="auto" w:fill="auto"/>
            <w:vAlign w:val="center"/>
          </w:tcPr>
          <w:p>
            <w:pPr>
              <w:pStyle w:val="1748"/>
              <w:snapToGrid/>
              <w:spacing w:line="360" w:lineRule="exact"/>
              <w:jc w:val="center"/>
              <w:rPr>
                <w:rFonts w:ascii="宋体" w:hAnsi="宋体"/>
                <w:b w:val="0"/>
              </w:rPr>
            </w:pPr>
            <w:r>
              <w:rPr>
                <w:rFonts w:hint="eastAsia" w:ascii="宋体" w:hAnsi="宋体"/>
              </w:rPr>
              <w:t>支付比例（百分比）</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vAlign w:val="center"/>
          </w:tcPr>
          <w:p>
            <w:pPr>
              <w:pStyle w:val="1748"/>
              <w:snapToGrid/>
              <w:spacing w:line="360" w:lineRule="exact"/>
              <w:jc w:val="center"/>
              <w:rPr>
                <w:rFonts w:ascii="宋体" w:hAnsi="宋体"/>
                <w:b w:val="0"/>
                <w:bCs/>
              </w:rPr>
            </w:pPr>
            <w:r>
              <w:rPr>
                <w:rFonts w:ascii="宋体" w:hAnsi="宋体"/>
                <w:b w:val="0"/>
                <w:bCs/>
              </w:rPr>
              <w:t>1</w:t>
            </w:r>
          </w:p>
        </w:tc>
        <w:tc>
          <w:tcPr>
            <w:tcW w:w="4065" w:type="dxa"/>
            <w:vAlign w:val="center"/>
          </w:tcPr>
          <w:p>
            <w:pPr>
              <w:pStyle w:val="1748"/>
              <w:snapToGrid/>
              <w:spacing w:line="360" w:lineRule="exact"/>
              <w:jc w:val="center"/>
              <w:rPr>
                <w:rFonts w:ascii="宋体" w:hAnsi="宋体"/>
                <w:b w:val="0"/>
                <w:bCs/>
              </w:rPr>
            </w:pPr>
            <w:r>
              <w:rPr>
                <w:rFonts w:ascii="宋体" w:hAnsi="宋体"/>
                <w:b w:val="0"/>
                <w:bCs/>
              </w:rPr>
              <w:t>95～100</w:t>
            </w:r>
          </w:p>
        </w:tc>
        <w:tc>
          <w:tcPr>
            <w:tcW w:w="4220" w:type="dxa"/>
            <w:vAlign w:val="center"/>
          </w:tcPr>
          <w:p>
            <w:pPr>
              <w:pStyle w:val="1748"/>
              <w:snapToGrid/>
              <w:spacing w:line="360" w:lineRule="exact"/>
              <w:jc w:val="center"/>
              <w:rPr>
                <w:rFonts w:ascii="宋体" w:hAnsi="宋体"/>
                <w:b w:val="0"/>
                <w:bCs/>
              </w:rPr>
            </w:pPr>
            <w:r>
              <w:rPr>
                <w:rFonts w:hint="eastAsia" w:ascii="宋体" w:hAnsi="宋体"/>
                <w:b w:val="0"/>
                <w:bCs/>
              </w:rPr>
              <w:t>支付到合同总金额的</w:t>
            </w:r>
            <w:r>
              <w:rPr>
                <w:rFonts w:ascii="宋体" w:hAnsi="宋体"/>
                <w:b w:val="0"/>
                <w:bCs/>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vAlign w:val="center"/>
          </w:tcPr>
          <w:p>
            <w:pPr>
              <w:pStyle w:val="1748"/>
              <w:snapToGrid/>
              <w:spacing w:line="360" w:lineRule="exact"/>
              <w:jc w:val="center"/>
              <w:rPr>
                <w:rFonts w:ascii="宋体" w:hAnsi="宋体"/>
                <w:b w:val="0"/>
                <w:bCs/>
              </w:rPr>
            </w:pPr>
            <w:r>
              <w:rPr>
                <w:rFonts w:ascii="宋体" w:hAnsi="宋体"/>
                <w:b w:val="0"/>
                <w:bCs/>
              </w:rPr>
              <w:t>2</w:t>
            </w:r>
          </w:p>
        </w:tc>
        <w:tc>
          <w:tcPr>
            <w:tcW w:w="4065" w:type="dxa"/>
            <w:vAlign w:val="center"/>
          </w:tcPr>
          <w:p>
            <w:pPr>
              <w:pStyle w:val="1748"/>
              <w:snapToGrid/>
              <w:spacing w:line="360" w:lineRule="exact"/>
              <w:jc w:val="center"/>
              <w:rPr>
                <w:rFonts w:ascii="宋体" w:hAnsi="宋体"/>
                <w:b w:val="0"/>
                <w:bCs/>
              </w:rPr>
            </w:pPr>
            <w:r>
              <w:rPr>
                <w:rFonts w:ascii="宋体" w:hAnsi="宋体"/>
                <w:b w:val="0"/>
                <w:bCs/>
              </w:rPr>
              <w:t>85～9</w:t>
            </w:r>
            <w:r>
              <w:rPr>
                <w:rFonts w:hint="eastAsia" w:ascii="宋体" w:hAnsi="宋体"/>
                <w:b w:val="0"/>
                <w:bCs/>
              </w:rPr>
              <w:t>5（不含95）</w:t>
            </w:r>
          </w:p>
        </w:tc>
        <w:tc>
          <w:tcPr>
            <w:tcW w:w="4220" w:type="dxa"/>
            <w:vAlign w:val="center"/>
          </w:tcPr>
          <w:p>
            <w:pPr>
              <w:pStyle w:val="1748"/>
              <w:snapToGrid/>
              <w:spacing w:line="360" w:lineRule="exact"/>
              <w:jc w:val="center"/>
              <w:rPr>
                <w:rFonts w:ascii="宋体" w:hAnsi="宋体"/>
                <w:b w:val="0"/>
                <w:bCs/>
              </w:rPr>
            </w:pPr>
            <w:r>
              <w:rPr>
                <w:rFonts w:hint="eastAsia" w:ascii="宋体" w:hAnsi="宋体"/>
                <w:b w:val="0"/>
                <w:bCs/>
              </w:rPr>
              <w:t>支付到合同总金额的</w:t>
            </w:r>
            <w:r>
              <w:rPr>
                <w:rFonts w:ascii="宋体" w:hAnsi="宋体"/>
                <w:b w:val="0"/>
                <w:bCs/>
              </w:rPr>
              <w:t>95%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vAlign w:val="center"/>
          </w:tcPr>
          <w:p>
            <w:pPr>
              <w:pStyle w:val="1748"/>
              <w:snapToGrid/>
              <w:spacing w:line="360" w:lineRule="exact"/>
              <w:jc w:val="center"/>
              <w:rPr>
                <w:rFonts w:ascii="宋体" w:hAnsi="宋体"/>
                <w:b w:val="0"/>
                <w:bCs/>
              </w:rPr>
            </w:pPr>
            <w:r>
              <w:rPr>
                <w:rFonts w:ascii="宋体" w:hAnsi="宋体"/>
                <w:b w:val="0"/>
                <w:bCs/>
              </w:rPr>
              <w:t>3</w:t>
            </w:r>
          </w:p>
        </w:tc>
        <w:tc>
          <w:tcPr>
            <w:tcW w:w="4065" w:type="dxa"/>
            <w:vAlign w:val="center"/>
          </w:tcPr>
          <w:p>
            <w:pPr>
              <w:pStyle w:val="1748"/>
              <w:snapToGrid/>
              <w:spacing w:line="360" w:lineRule="exact"/>
              <w:jc w:val="center"/>
              <w:rPr>
                <w:rFonts w:ascii="宋体" w:hAnsi="宋体"/>
                <w:b w:val="0"/>
                <w:bCs/>
              </w:rPr>
            </w:pPr>
            <w:r>
              <w:rPr>
                <w:rFonts w:ascii="宋体" w:hAnsi="宋体"/>
                <w:b w:val="0"/>
                <w:bCs/>
              </w:rPr>
              <w:t>70～8</w:t>
            </w:r>
            <w:r>
              <w:rPr>
                <w:rFonts w:hint="eastAsia" w:ascii="宋体" w:hAnsi="宋体"/>
                <w:b w:val="0"/>
                <w:bCs/>
              </w:rPr>
              <w:t>5</w:t>
            </w:r>
            <w:r>
              <w:rPr>
                <w:rFonts w:ascii="宋体" w:hAnsi="宋体"/>
                <w:b w:val="0"/>
                <w:bCs/>
              </w:rPr>
              <w:t>（不含</w:t>
            </w:r>
            <w:r>
              <w:rPr>
                <w:rFonts w:hint="eastAsia" w:ascii="宋体" w:hAnsi="宋体"/>
                <w:b w:val="0"/>
                <w:bCs/>
              </w:rPr>
              <w:t>85</w:t>
            </w:r>
            <w:r>
              <w:rPr>
                <w:rFonts w:ascii="宋体" w:hAnsi="宋体"/>
                <w:b w:val="0"/>
                <w:bCs/>
              </w:rPr>
              <w:t>）</w:t>
            </w:r>
          </w:p>
        </w:tc>
        <w:tc>
          <w:tcPr>
            <w:tcW w:w="4220" w:type="dxa"/>
            <w:vAlign w:val="center"/>
          </w:tcPr>
          <w:p>
            <w:pPr>
              <w:pStyle w:val="1748"/>
              <w:snapToGrid/>
              <w:spacing w:line="360" w:lineRule="exact"/>
              <w:jc w:val="center"/>
              <w:rPr>
                <w:rFonts w:ascii="宋体" w:hAnsi="宋体"/>
                <w:b w:val="0"/>
                <w:bCs/>
              </w:rPr>
            </w:pPr>
            <w:r>
              <w:rPr>
                <w:rFonts w:hint="eastAsia" w:ascii="宋体" w:hAnsi="宋体"/>
                <w:b w:val="0"/>
                <w:bCs/>
              </w:rPr>
              <w:t>支付到合同总金额的</w:t>
            </w:r>
            <w:r>
              <w:rPr>
                <w:rFonts w:ascii="宋体" w:hAnsi="宋体"/>
                <w:b w:val="0"/>
                <w:bCs/>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vAlign w:val="center"/>
          </w:tcPr>
          <w:p>
            <w:pPr>
              <w:pStyle w:val="1748"/>
              <w:snapToGrid/>
              <w:spacing w:line="360" w:lineRule="exact"/>
              <w:jc w:val="center"/>
              <w:rPr>
                <w:rFonts w:ascii="宋体" w:hAnsi="宋体"/>
                <w:b w:val="0"/>
                <w:bCs/>
              </w:rPr>
            </w:pPr>
            <w:r>
              <w:rPr>
                <w:rFonts w:ascii="宋体" w:hAnsi="宋体"/>
                <w:b w:val="0"/>
                <w:bCs/>
              </w:rPr>
              <w:t>4</w:t>
            </w:r>
          </w:p>
        </w:tc>
        <w:tc>
          <w:tcPr>
            <w:tcW w:w="4065" w:type="dxa"/>
            <w:vAlign w:val="center"/>
          </w:tcPr>
          <w:p>
            <w:pPr>
              <w:pStyle w:val="1748"/>
              <w:snapToGrid/>
              <w:spacing w:line="360" w:lineRule="exact"/>
              <w:jc w:val="center"/>
              <w:rPr>
                <w:rFonts w:ascii="宋体" w:hAnsi="宋体"/>
                <w:b w:val="0"/>
                <w:bCs/>
              </w:rPr>
            </w:pPr>
            <w:r>
              <w:rPr>
                <w:rFonts w:ascii="宋体" w:hAnsi="宋体"/>
                <w:b w:val="0"/>
                <w:bCs/>
              </w:rPr>
              <w:t>50～</w:t>
            </w:r>
            <w:r>
              <w:rPr>
                <w:rFonts w:hint="eastAsia" w:ascii="宋体" w:hAnsi="宋体"/>
                <w:b w:val="0"/>
                <w:bCs/>
              </w:rPr>
              <w:t>70（不含70）</w:t>
            </w:r>
          </w:p>
        </w:tc>
        <w:tc>
          <w:tcPr>
            <w:tcW w:w="4220" w:type="dxa"/>
            <w:vAlign w:val="center"/>
          </w:tcPr>
          <w:p>
            <w:pPr>
              <w:pStyle w:val="1748"/>
              <w:snapToGrid/>
              <w:spacing w:line="360" w:lineRule="exact"/>
              <w:jc w:val="center"/>
              <w:rPr>
                <w:rFonts w:ascii="宋体" w:hAnsi="宋体"/>
                <w:b w:val="0"/>
                <w:bCs/>
              </w:rPr>
            </w:pPr>
            <w:r>
              <w:rPr>
                <w:rFonts w:hint="eastAsia" w:ascii="宋体" w:hAnsi="宋体"/>
                <w:b w:val="0"/>
                <w:bCs/>
              </w:rPr>
              <w:t>支付到合同总金额的</w:t>
            </w:r>
            <w:r>
              <w:rPr>
                <w:rFonts w:ascii="宋体" w:hAnsi="宋体"/>
                <w:b w:val="0"/>
                <w:bCs/>
              </w:rPr>
              <w:t>85%</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002" w:type="dxa"/>
            <w:vAlign w:val="center"/>
          </w:tcPr>
          <w:p>
            <w:pPr>
              <w:pStyle w:val="1748"/>
              <w:snapToGrid/>
              <w:spacing w:line="360" w:lineRule="exact"/>
              <w:jc w:val="center"/>
              <w:rPr>
                <w:rFonts w:ascii="宋体" w:hAnsi="宋体"/>
                <w:b w:val="0"/>
                <w:bCs/>
              </w:rPr>
            </w:pPr>
            <w:r>
              <w:rPr>
                <w:rFonts w:ascii="宋体" w:hAnsi="宋体"/>
                <w:b w:val="0"/>
                <w:bCs/>
              </w:rPr>
              <w:t>5</w:t>
            </w:r>
          </w:p>
        </w:tc>
        <w:tc>
          <w:tcPr>
            <w:tcW w:w="4065" w:type="dxa"/>
            <w:vAlign w:val="center"/>
          </w:tcPr>
          <w:p>
            <w:pPr>
              <w:pStyle w:val="1748"/>
              <w:snapToGrid/>
              <w:spacing w:line="360" w:lineRule="exact"/>
              <w:jc w:val="center"/>
              <w:rPr>
                <w:rFonts w:ascii="宋体" w:hAnsi="宋体"/>
                <w:b w:val="0"/>
                <w:bCs/>
              </w:rPr>
            </w:pPr>
            <w:r>
              <w:rPr>
                <w:rFonts w:ascii="宋体" w:hAnsi="宋体"/>
                <w:b w:val="0"/>
                <w:bCs/>
              </w:rPr>
              <w:t>0～</w:t>
            </w:r>
            <w:r>
              <w:rPr>
                <w:rFonts w:hint="eastAsia" w:ascii="宋体" w:hAnsi="宋体"/>
                <w:b w:val="0"/>
                <w:bCs/>
              </w:rPr>
              <w:t>50（不含50）</w:t>
            </w:r>
          </w:p>
        </w:tc>
        <w:tc>
          <w:tcPr>
            <w:tcW w:w="4220" w:type="dxa"/>
            <w:vAlign w:val="center"/>
          </w:tcPr>
          <w:p>
            <w:pPr>
              <w:pStyle w:val="1748"/>
              <w:snapToGrid/>
              <w:spacing w:line="360" w:lineRule="exact"/>
              <w:jc w:val="center"/>
              <w:rPr>
                <w:rFonts w:ascii="宋体" w:hAnsi="宋体"/>
                <w:b w:val="0"/>
                <w:bCs/>
              </w:rPr>
            </w:pPr>
            <w:r>
              <w:rPr>
                <w:rFonts w:hint="eastAsia" w:ascii="宋体" w:hAnsi="宋体"/>
                <w:b w:val="0"/>
                <w:bCs/>
              </w:rPr>
              <w:t>支付到合同总金额的</w:t>
            </w:r>
            <w:r>
              <w:rPr>
                <w:rFonts w:ascii="宋体" w:hAnsi="宋体"/>
                <w:b w:val="0"/>
                <w:bCs/>
              </w:rPr>
              <w:t>80%</w:t>
            </w:r>
          </w:p>
        </w:tc>
      </w:tr>
    </w:tbl>
    <w:p>
      <w:pPr>
        <w:sectPr>
          <w:pgSz w:w="11906" w:h="16838"/>
          <w:pgMar w:top="1418" w:right="1134" w:bottom="1418" w:left="1701" w:header="851" w:footer="992" w:gutter="0"/>
          <w:cols w:space="425" w:num="1"/>
          <w:docGrid w:type="lines" w:linePitch="436" w:charSpace="195"/>
        </w:sectPr>
      </w:pPr>
    </w:p>
    <w:p>
      <w:pPr>
        <w:pStyle w:val="4"/>
        <w:numPr>
          <w:ilvl w:val="1"/>
          <w:numId w:val="72"/>
        </w:numPr>
      </w:pPr>
      <w:bookmarkStart w:id="142" w:name="_Toc5579"/>
      <w:r>
        <w:rPr>
          <w:rFonts w:hint="eastAsia"/>
        </w:rPr>
        <w:t>服务实施计划要求</w:t>
      </w:r>
      <w:bookmarkEnd w:id="142"/>
    </w:p>
    <w:p>
      <w:pPr>
        <w:pStyle w:val="5"/>
        <w:numPr>
          <w:ilvl w:val="2"/>
          <w:numId w:val="72"/>
        </w:numPr>
      </w:pPr>
      <w:bookmarkStart w:id="143" w:name="_Toc28958"/>
      <w:r>
        <w:rPr>
          <w:rFonts w:hint="eastAsia"/>
        </w:rPr>
        <w:t>维护服务计划</w:t>
      </w:r>
      <w:bookmarkEnd w:id="143"/>
    </w:p>
    <w:p>
      <w:pPr>
        <w:pStyle w:val="11"/>
        <w:numPr>
          <w:ilvl w:val="8"/>
          <w:numId w:val="72"/>
        </w:numPr>
      </w:pPr>
      <w:bookmarkStart w:id="144" w:name="_Toc165045323"/>
      <w:r>
        <w:rPr>
          <w:rFonts w:hint="eastAsia"/>
        </w:rPr>
        <w:t>维护计划表</w:t>
      </w:r>
      <w:bookmarkEnd w:id="144"/>
    </w:p>
    <w:tbl>
      <w:tblPr>
        <w:tblStyle w:val="75"/>
        <w:tblW w:w="14070" w:type="dxa"/>
        <w:tblInd w:w="0" w:type="dxa"/>
        <w:tblLayout w:type="autofit"/>
        <w:tblCellMar>
          <w:top w:w="0" w:type="dxa"/>
          <w:left w:w="108" w:type="dxa"/>
          <w:bottom w:w="0" w:type="dxa"/>
          <w:right w:w="108" w:type="dxa"/>
        </w:tblCellMar>
      </w:tblPr>
      <w:tblGrid>
        <w:gridCol w:w="660"/>
        <w:gridCol w:w="1444"/>
        <w:gridCol w:w="2126"/>
        <w:gridCol w:w="820"/>
        <w:gridCol w:w="820"/>
        <w:gridCol w:w="820"/>
        <w:gridCol w:w="820"/>
        <w:gridCol w:w="820"/>
        <w:gridCol w:w="820"/>
        <w:gridCol w:w="820"/>
        <w:gridCol w:w="820"/>
        <w:gridCol w:w="820"/>
        <w:gridCol w:w="820"/>
        <w:gridCol w:w="820"/>
        <w:gridCol w:w="820"/>
      </w:tblGrid>
      <w:tr>
        <w:tblPrEx>
          <w:tblCellMar>
            <w:top w:w="0" w:type="dxa"/>
            <w:left w:w="108" w:type="dxa"/>
            <w:bottom w:w="0" w:type="dxa"/>
            <w:right w:w="108" w:type="dxa"/>
          </w:tblCellMar>
        </w:tblPrEx>
        <w:trPr>
          <w:tblHeader/>
        </w:trPr>
        <w:tc>
          <w:tcPr>
            <w:tcW w:w="660" w:type="dxa"/>
            <w:vMerge w:val="restart"/>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序号</w:t>
            </w:r>
          </w:p>
        </w:tc>
        <w:tc>
          <w:tcPr>
            <w:tcW w:w="1444"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检查项目</w:t>
            </w:r>
          </w:p>
        </w:tc>
        <w:tc>
          <w:tcPr>
            <w:tcW w:w="2126" w:type="dxa"/>
            <w:vMerge w:val="restart"/>
            <w:tcBorders>
              <w:top w:val="double" w:color="auto" w:sz="6" w:space="0"/>
              <w:left w:val="single" w:color="auto" w:sz="4" w:space="0"/>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检查内容</w:t>
            </w:r>
          </w:p>
        </w:tc>
        <w:tc>
          <w:tcPr>
            <w:tcW w:w="9840" w:type="dxa"/>
            <w:gridSpan w:val="12"/>
            <w:tcBorders>
              <w:top w:val="double" w:color="auto" w:sz="6" w:space="0"/>
              <w:left w:val="nil"/>
              <w:bottom w:val="single" w:color="auto" w:sz="4" w:space="0"/>
              <w:right w:val="double" w:color="000000" w:sz="6"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月份</w:t>
            </w:r>
          </w:p>
        </w:tc>
      </w:tr>
      <w:tr>
        <w:tblPrEx>
          <w:tblCellMar>
            <w:top w:w="0" w:type="dxa"/>
            <w:left w:w="108" w:type="dxa"/>
            <w:bottom w:w="0" w:type="dxa"/>
            <w:right w:w="108" w:type="dxa"/>
          </w:tblCellMar>
        </w:tblPrEx>
        <w:trPr>
          <w:tblHeader/>
        </w:trPr>
        <w:tc>
          <w:tcPr>
            <w:tcW w:w="660" w:type="dxa"/>
            <w:vMerge w:val="continue"/>
            <w:tcBorders>
              <w:top w:val="double" w:color="auto" w:sz="6" w:space="0"/>
              <w:left w:val="double" w:color="auto" w:sz="6" w:space="0"/>
              <w:bottom w:val="single" w:color="auto" w:sz="4" w:space="0"/>
              <w:right w:val="single" w:color="auto" w:sz="4" w:space="0"/>
            </w:tcBorders>
            <w:vAlign w:val="center"/>
          </w:tcPr>
          <w:p>
            <w:pPr>
              <w:widowControl/>
              <w:spacing w:line="320" w:lineRule="exact"/>
              <w:jc w:val="left"/>
              <w:rPr>
                <w:rFonts w:hAnsi="宋体" w:cs="宋体"/>
                <w:b/>
                <w:bCs/>
                <w:kern w:val="0"/>
                <w:sz w:val="21"/>
                <w:szCs w:val="21"/>
              </w:rPr>
            </w:pPr>
          </w:p>
        </w:tc>
        <w:tc>
          <w:tcPr>
            <w:tcW w:w="1444" w:type="dxa"/>
            <w:vMerge w:val="continue"/>
            <w:tcBorders>
              <w:top w:val="double" w:color="auto" w:sz="6" w:space="0"/>
              <w:left w:val="single" w:color="auto" w:sz="4" w:space="0"/>
              <w:bottom w:val="single" w:color="auto" w:sz="4" w:space="0"/>
              <w:right w:val="single" w:color="auto" w:sz="4" w:space="0"/>
            </w:tcBorders>
            <w:vAlign w:val="center"/>
          </w:tcPr>
          <w:p>
            <w:pPr>
              <w:widowControl/>
              <w:spacing w:line="320" w:lineRule="exact"/>
              <w:jc w:val="left"/>
              <w:rPr>
                <w:rFonts w:hAnsi="宋体" w:cs="宋体"/>
                <w:b/>
                <w:bCs/>
                <w:kern w:val="0"/>
                <w:sz w:val="21"/>
                <w:szCs w:val="21"/>
              </w:rPr>
            </w:pPr>
          </w:p>
        </w:tc>
        <w:tc>
          <w:tcPr>
            <w:tcW w:w="2126" w:type="dxa"/>
            <w:vMerge w:val="continue"/>
            <w:tcBorders>
              <w:top w:val="double" w:color="auto" w:sz="6" w:space="0"/>
              <w:left w:val="single" w:color="auto" w:sz="4" w:space="0"/>
              <w:bottom w:val="single" w:color="auto" w:sz="4" w:space="0"/>
              <w:right w:val="single" w:color="auto" w:sz="4" w:space="0"/>
            </w:tcBorders>
            <w:vAlign w:val="center"/>
          </w:tcPr>
          <w:p>
            <w:pPr>
              <w:widowControl/>
              <w:spacing w:line="320" w:lineRule="exact"/>
              <w:jc w:val="left"/>
              <w:rPr>
                <w:rFonts w:hAnsi="宋体" w:cs="宋体"/>
                <w:b/>
                <w:bCs/>
                <w:kern w:val="0"/>
                <w:sz w:val="21"/>
                <w:szCs w:val="21"/>
              </w:rPr>
            </w:pP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T+1月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T+2月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T+3月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T+4月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T+5月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T+6月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T+7月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T+8月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T+9月</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ind w:left="-84" w:leftChars="-35" w:right="-166" w:rightChars="-69"/>
              <w:jc w:val="center"/>
              <w:rPr>
                <w:rFonts w:hAnsi="宋体" w:cs="宋体"/>
                <w:b/>
                <w:bCs/>
                <w:kern w:val="0"/>
                <w:sz w:val="21"/>
                <w:szCs w:val="21"/>
              </w:rPr>
            </w:pPr>
            <w:r>
              <w:rPr>
                <w:rFonts w:hint="eastAsia" w:hAnsi="宋体" w:cs="宋体"/>
                <w:b/>
                <w:bCs/>
                <w:kern w:val="0"/>
                <w:sz w:val="21"/>
                <w:szCs w:val="21"/>
              </w:rPr>
              <w:t>T+10月</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ind w:left="-84" w:leftChars="-35" w:right="-166" w:rightChars="-69"/>
              <w:jc w:val="center"/>
              <w:rPr>
                <w:rFonts w:hAnsi="宋体" w:cs="宋体"/>
                <w:b/>
                <w:bCs/>
                <w:kern w:val="0"/>
                <w:sz w:val="21"/>
                <w:szCs w:val="21"/>
              </w:rPr>
            </w:pPr>
            <w:r>
              <w:rPr>
                <w:rFonts w:hint="eastAsia" w:hAnsi="宋体" w:cs="宋体"/>
                <w:b/>
                <w:bCs/>
                <w:kern w:val="0"/>
                <w:sz w:val="21"/>
                <w:szCs w:val="21"/>
              </w:rPr>
              <w:t>T+11月</w:t>
            </w:r>
          </w:p>
        </w:tc>
      </w:tr>
      <w:tr>
        <w:tblPrEx>
          <w:tblCellMar>
            <w:top w:w="0" w:type="dxa"/>
            <w:left w:w="108" w:type="dxa"/>
            <w:bottom w:w="0" w:type="dxa"/>
            <w:right w:w="108" w:type="dxa"/>
          </w:tblCellMar>
        </w:tblPrEx>
        <w:tc>
          <w:tcPr>
            <w:tcW w:w="660" w:type="dxa"/>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一</w:t>
            </w:r>
          </w:p>
        </w:tc>
        <w:tc>
          <w:tcPr>
            <w:tcW w:w="13410" w:type="dxa"/>
            <w:gridSpan w:val="14"/>
            <w:tcBorders>
              <w:top w:val="single" w:color="auto" w:sz="4" w:space="0"/>
              <w:left w:val="nil"/>
              <w:bottom w:val="single" w:color="auto" w:sz="4" w:space="0"/>
              <w:right w:val="double" w:color="000000" w:sz="6"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电气检查项目</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高压配电系统</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2</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变压器</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3</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低压配电系统</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4</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UPS</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5</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蓄电池</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6</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列头柜</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7</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柴油发电机组</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二</w:t>
            </w:r>
          </w:p>
        </w:tc>
        <w:tc>
          <w:tcPr>
            <w:tcW w:w="13410" w:type="dxa"/>
            <w:gridSpan w:val="14"/>
            <w:tcBorders>
              <w:top w:val="single" w:color="auto" w:sz="4" w:space="0"/>
              <w:left w:val="nil"/>
              <w:bottom w:val="single" w:color="auto" w:sz="4" w:space="0"/>
              <w:right w:val="double" w:color="000000" w:sz="6"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通风空调检查项目</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冷冻水机组</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2、设备清洁</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2</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冷却塔</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2、设备清洁</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3</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新风及动力楼空调系统</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2、设备清洁</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4</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房间、列间空调</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2、设备清洁</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三</w:t>
            </w:r>
          </w:p>
        </w:tc>
        <w:tc>
          <w:tcPr>
            <w:tcW w:w="13410" w:type="dxa"/>
            <w:gridSpan w:val="14"/>
            <w:tcBorders>
              <w:top w:val="single" w:color="auto" w:sz="4" w:space="0"/>
              <w:left w:val="nil"/>
              <w:bottom w:val="single" w:color="auto" w:sz="4" w:space="0"/>
              <w:right w:val="double" w:color="000000" w:sz="6"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消防检查项目</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火灾自动报警和消防联动控制系统检测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2</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消防自动喷水灭火系统检测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3</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气体灭火系统检测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4</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防火卷帘系统与防火门检测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5</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通风排烟系统检测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6</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应急照明及疏散指示灯检测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2、安装检测</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3、功能试验</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7</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电气防火安全检测</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临时用电装置</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只检测变电装置</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四</w:t>
            </w:r>
          </w:p>
        </w:tc>
        <w:tc>
          <w:tcPr>
            <w:tcW w:w="13410" w:type="dxa"/>
            <w:gridSpan w:val="14"/>
            <w:tcBorders>
              <w:top w:val="single" w:color="auto" w:sz="4" w:space="0"/>
              <w:left w:val="nil"/>
              <w:bottom w:val="single" w:color="auto" w:sz="4" w:space="0"/>
              <w:right w:val="double" w:color="000000" w:sz="6" w:space="0"/>
            </w:tcBorders>
            <w:shd w:val="clear" w:color="auto" w:fill="auto"/>
            <w:vAlign w:val="center"/>
          </w:tcPr>
          <w:p>
            <w:pPr>
              <w:widowControl/>
              <w:spacing w:line="320" w:lineRule="exact"/>
              <w:jc w:val="center"/>
              <w:rPr>
                <w:rFonts w:hAnsi="宋体" w:cs="宋体"/>
                <w:b/>
                <w:bCs/>
                <w:kern w:val="0"/>
                <w:sz w:val="21"/>
                <w:szCs w:val="21"/>
              </w:rPr>
            </w:pPr>
            <w:r>
              <w:rPr>
                <w:rFonts w:hint="eastAsia" w:hAnsi="宋体" w:cs="宋体"/>
                <w:b/>
                <w:bCs/>
                <w:kern w:val="0"/>
                <w:sz w:val="21"/>
                <w:szCs w:val="21"/>
              </w:rPr>
              <w:t>防雷检查项目</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1</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接闪及下引线</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2、电位连接及接地阻值测试等</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2</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电涌保护器常规测试</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2、SPD的压敏电压、漏电流测试</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3</w:t>
            </w:r>
          </w:p>
        </w:tc>
        <w:tc>
          <w:tcPr>
            <w:tcW w:w="3570"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电涌保护器的标称电流、残压测试</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4</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水塔（冷却塔）</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2、电位连接及接地阻值测试等</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3、等电位连接导体的防腐措施及腐蚀度。</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5</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预留电气接地</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1、电气预留接地端子的接地电阻值；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2、电气预留端子的防腐措施及腐蚀度。</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6</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电梯接地</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1、电梯机座或电梯电气预留端子的接地电阻值；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2、电梯电气预留端子的防腐措施及腐蚀度。</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7</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接地装置（防雷、电源、通信、设备专用）</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1、接地连接线的接地电阻值；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2、接地线的材料、规格、连接工艺；</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3、接地干线的材料、规格、连接工艺。</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8</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金属旗杆接地</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1、外观检查</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2、电位连接及接地阻值测试等</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single" w:color="auto" w:sz="4"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9</w:t>
            </w:r>
          </w:p>
        </w:tc>
        <w:tc>
          <w:tcPr>
            <w:tcW w:w="1444"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静电接地体</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1、静电接地体的接地电阻值。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single" w:color="auto" w:sz="4"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2、静电夹导线的截面积、过渡电阻值。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restart"/>
            <w:tcBorders>
              <w:top w:val="nil"/>
              <w:left w:val="double" w:color="auto" w:sz="6" w:space="0"/>
              <w:bottom w:val="double" w:color="000000" w:sz="6" w:space="0"/>
              <w:right w:val="single" w:color="auto" w:sz="4" w:space="0"/>
            </w:tcBorders>
            <w:shd w:val="clear" w:color="auto" w:fill="auto"/>
            <w:noWrap/>
            <w:vAlign w:val="center"/>
          </w:tcPr>
          <w:p>
            <w:pPr>
              <w:widowControl/>
              <w:spacing w:line="320" w:lineRule="exact"/>
              <w:jc w:val="center"/>
              <w:rPr>
                <w:rFonts w:hAnsi="宋体" w:cs="宋体"/>
                <w:kern w:val="0"/>
                <w:sz w:val="21"/>
                <w:szCs w:val="21"/>
              </w:rPr>
            </w:pPr>
            <w:r>
              <w:rPr>
                <w:rFonts w:hint="eastAsia" w:hAnsi="宋体" w:cs="宋体"/>
                <w:kern w:val="0"/>
                <w:sz w:val="21"/>
                <w:szCs w:val="21"/>
              </w:rPr>
              <w:t>10</w:t>
            </w:r>
          </w:p>
        </w:tc>
        <w:tc>
          <w:tcPr>
            <w:tcW w:w="1444" w:type="dxa"/>
            <w:vMerge w:val="restart"/>
            <w:tcBorders>
              <w:top w:val="nil"/>
              <w:left w:val="single" w:color="auto" w:sz="4" w:space="0"/>
              <w:bottom w:val="double" w:color="000000" w:sz="6"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输油、输气管道</w:t>
            </w: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1、管道连接口的跨接及过渡电阻值；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double" w:color="000000" w:sz="6"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single" w:color="auto" w:sz="4"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2、输油、输气管道的弯头、阀门或法兰盘等接口的过渡电阻值；</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single" w:color="auto" w:sz="4"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r>
        <w:tblPrEx>
          <w:tblCellMar>
            <w:top w:w="0" w:type="dxa"/>
            <w:left w:w="108" w:type="dxa"/>
            <w:bottom w:w="0" w:type="dxa"/>
            <w:right w:w="108" w:type="dxa"/>
          </w:tblCellMar>
        </w:tblPrEx>
        <w:tc>
          <w:tcPr>
            <w:tcW w:w="660" w:type="dxa"/>
            <w:vMerge w:val="continue"/>
            <w:tcBorders>
              <w:top w:val="nil"/>
              <w:left w:val="double" w:color="auto" w:sz="6" w:space="0"/>
              <w:bottom w:val="double" w:color="000000" w:sz="6" w:space="0"/>
              <w:right w:val="single" w:color="auto" w:sz="4" w:space="0"/>
            </w:tcBorders>
            <w:vAlign w:val="center"/>
          </w:tcPr>
          <w:p>
            <w:pPr>
              <w:widowControl/>
              <w:spacing w:line="320" w:lineRule="exact"/>
              <w:jc w:val="left"/>
              <w:rPr>
                <w:rFonts w:hAnsi="宋体" w:cs="宋体"/>
                <w:kern w:val="0"/>
                <w:sz w:val="21"/>
                <w:szCs w:val="21"/>
              </w:rPr>
            </w:pPr>
          </w:p>
        </w:tc>
        <w:tc>
          <w:tcPr>
            <w:tcW w:w="1444" w:type="dxa"/>
            <w:vMerge w:val="continue"/>
            <w:tcBorders>
              <w:top w:val="nil"/>
              <w:left w:val="single" w:color="auto" w:sz="4" w:space="0"/>
              <w:bottom w:val="double" w:color="000000" w:sz="6" w:space="0"/>
              <w:right w:val="single" w:color="auto" w:sz="4" w:space="0"/>
            </w:tcBorders>
            <w:vAlign w:val="center"/>
          </w:tcPr>
          <w:p>
            <w:pPr>
              <w:widowControl/>
              <w:spacing w:line="320" w:lineRule="exact"/>
              <w:jc w:val="left"/>
              <w:rPr>
                <w:rFonts w:hAnsi="宋体" w:cs="宋体"/>
                <w:kern w:val="0"/>
                <w:sz w:val="21"/>
                <w:szCs w:val="21"/>
              </w:rPr>
            </w:pPr>
          </w:p>
        </w:tc>
        <w:tc>
          <w:tcPr>
            <w:tcW w:w="2126" w:type="dxa"/>
            <w:tcBorders>
              <w:top w:val="nil"/>
              <w:left w:val="nil"/>
              <w:bottom w:val="double" w:color="auto" w:sz="6" w:space="0"/>
              <w:right w:val="single" w:color="auto" w:sz="4" w:space="0"/>
            </w:tcBorders>
            <w:shd w:val="clear" w:color="auto" w:fill="auto"/>
            <w:vAlign w:val="center"/>
          </w:tcPr>
          <w:p>
            <w:pPr>
              <w:widowControl/>
              <w:spacing w:line="320" w:lineRule="exact"/>
              <w:jc w:val="left"/>
              <w:rPr>
                <w:rFonts w:hAnsi="宋体" w:cs="宋体"/>
                <w:kern w:val="0"/>
                <w:sz w:val="21"/>
                <w:szCs w:val="21"/>
              </w:rPr>
            </w:pPr>
            <w:r>
              <w:rPr>
                <w:rFonts w:hint="eastAsia" w:hAnsi="宋体" w:cs="宋体"/>
                <w:kern w:val="0"/>
                <w:sz w:val="21"/>
                <w:szCs w:val="21"/>
              </w:rPr>
              <w:t>3、法兰盘的防雷等电位连接。</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single" w:color="auto" w:sz="4"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c>
          <w:tcPr>
            <w:tcW w:w="820" w:type="dxa"/>
            <w:tcBorders>
              <w:top w:val="nil"/>
              <w:left w:val="nil"/>
              <w:bottom w:val="double" w:color="auto" w:sz="6" w:space="0"/>
              <w:right w:val="double" w:color="auto" w:sz="6" w:space="0"/>
            </w:tcBorders>
            <w:shd w:val="clear" w:color="auto" w:fill="auto"/>
            <w:vAlign w:val="center"/>
          </w:tcPr>
          <w:p>
            <w:pPr>
              <w:widowControl/>
              <w:spacing w:line="320" w:lineRule="exact"/>
              <w:jc w:val="center"/>
              <w:rPr>
                <w:rFonts w:hAnsi="宋体" w:cs="宋体"/>
                <w:kern w:val="0"/>
                <w:sz w:val="21"/>
                <w:szCs w:val="21"/>
              </w:rPr>
            </w:pPr>
            <w:r>
              <w:rPr>
                <w:rFonts w:hint="eastAsia" w:hAnsi="宋体" w:cs="宋体"/>
                <w:kern w:val="0"/>
                <w:sz w:val="21"/>
                <w:szCs w:val="21"/>
              </w:rPr>
              <w:t>　</w:t>
            </w:r>
          </w:p>
        </w:tc>
      </w:tr>
    </w:tbl>
    <w:p>
      <w:pPr>
        <w:rPr>
          <w:rFonts w:hAnsi="宋体" w:cs="Arial"/>
        </w:rPr>
      </w:pPr>
    </w:p>
    <w:p>
      <w:pPr>
        <w:rPr>
          <w:rFonts w:hAnsi="宋体" w:cs="Arial"/>
        </w:rPr>
        <w:sectPr>
          <w:headerReference r:id="rId15" w:type="default"/>
          <w:footerReference r:id="rId17" w:type="default"/>
          <w:headerReference r:id="rId16" w:type="even"/>
          <w:footerReference r:id="rId18" w:type="even"/>
          <w:pgSz w:w="16838" w:h="11906" w:orient="landscape"/>
          <w:pgMar w:top="1701" w:right="1418" w:bottom="1134" w:left="1418" w:header="1077" w:footer="680" w:gutter="0"/>
          <w:cols w:space="425" w:num="1"/>
          <w:docGrid w:type="lines" w:linePitch="436" w:charSpace="195"/>
        </w:sectPr>
      </w:pPr>
    </w:p>
    <w:p>
      <w:pPr>
        <w:pStyle w:val="5"/>
        <w:numPr>
          <w:ilvl w:val="2"/>
          <w:numId w:val="72"/>
        </w:numPr>
      </w:pPr>
      <w:bookmarkStart w:id="145" w:name="_Toc517"/>
      <w:r>
        <w:rPr>
          <w:rFonts w:hint="eastAsia"/>
        </w:rPr>
        <w:t>服务实施进度要求</w:t>
      </w:r>
      <w:bookmarkEnd w:id="145"/>
    </w:p>
    <w:p>
      <w:pPr>
        <w:pStyle w:val="11"/>
        <w:numPr>
          <w:ilvl w:val="8"/>
          <w:numId w:val="72"/>
        </w:numPr>
      </w:pPr>
      <w:bookmarkStart w:id="146" w:name="_Toc165045324"/>
      <w:r>
        <w:rPr>
          <w:rFonts w:hint="eastAsia"/>
        </w:rPr>
        <w:t>实施进度表</w:t>
      </w:r>
      <w:bookmarkEnd w:id="146"/>
    </w:p>
    <w:tbl>
      <w:tblPr>
        <w:tblStyle w:val="75"/>
        <w:tblW w:w="9049" w:type="dxa"/>
        <w:tblInd w:w="0" w:type="dxa"/>
        <w:tblLayout w:type="autofit"/>
        <w:tblCellMar>
          <w:top w:w="0" w:type="dxa"/>
          <w:left w:w="108" w:type="dxa"/>
          <w:bottom w:w="0" w:type="dxa"/>
          <w:right w:w="108" w:type="dxa"/>
        </w:tblCellMar>
      </w:tblPr>
      <w:tblGrid>
        <w:gridCol w:w="800"/>
        <w:gridCol w:w="1162"/>
        <w:gridCol w:w="7087"/>
      </w:tblGrid>
      <w:tr>
        <w:tblPrEx>
          <w:tblCellMar>
            <w:top w:w="0" w:type="dxa"/>
            <w:left w:w="108" w:type="dxa"/>
            <w:bottom w:w="0" w:type="dxa"/>
            <w:right w:w="108" w:type="dxa"/>
          </w:tblCellMar>
        </w:tblPrEx>
        <w:trPr>
          <w:tblHeader/>
        </w:trPr>
        <w:tc>
          <w:tcPr>
            <w:tcW w:w="800" w:type="dxa"/>
            <w:tcBorders>
              <w:top w:val="double" w:color="auto" w:sz="6" w:space="0"/>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序号</w:t>
            </w:r>
          </w:p>
        </w:tc>
        <w:tc>
          <w:tcPr>
            <w:tcW w:w="1162" w:type="dxa"/>
            <w:tcBorders>
              <w:top w:val="double" w:color="auto" w:sz="6" w:space="0"/>
              <w:left w:val="nil"/>
              <w:bottom w:val="single" w:color="auto" w:sz="4" w:space="0"/>
              <w:right w:val="single" w:color="auto" w:sz="4"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周期</w:t>
            </w:r>
          </w:p>
        </w:tc>
        <w:tc>
          <w:tcPr>
            <w:tcW w:w="7087" w:type="dxa"/>
            <w:tcBorders>
              <w:top w:val="double" w:color="auto" w:sz="6" w:space="0"/>
              <w:left w:val="nil"/>
              <w:bottom w:val="single" w:color="auto" w:sz="4" w:space="0"/>
              <w:right w:val="double" w:color="auto" w:sz="6" w:space="0"/>
            </w:tcBorders>
            <w:shd w:val="clear" w:color="auto" w:fill="auto"/>
            <w:vAlign w:val="center"/>
          </w:tcPr>
          <w:p>
            <w:pPr>
              <w:widowControl/>
              <w:spacing w:line="360" w:lineRule="exact"/>
              <w:jc w:val="center"/>
              <w:rPr>
                <w:rFonts w:hAnsi="宋体" w:cs="宋体"/>
                <w:b/>
                <w:bCs/>
                <w:kern w:val="0"/>
                <w:sz w:val="21"/>
                <w:szCs w:val="21"/>
              </w:rPr>
            </w:pPr>
            <w:r>
              <w:rPr>
                <w:rFonts w:hint="eastAsia" w:hAnsi="宋体" w:cs="宋体"/>
                <w:b/>
                <w:bCs/>
                <w:kern w:val="0"/>
                <w:sz w:val="21"/>
                <w:szCs w:val="21"/>
              </w:rPr>
              <w:t>实施进度内容</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第1月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1、核查数据中心中存在的问题及缺陷并进行整改。</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2、运维人员驻场。</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2</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第2月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按照计划导入运维体系。</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3</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第3月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1、根据云计算中心运行特点，梳理适用于云计算中心的工作流程需求。</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2、编制相应的制度文件、操作细则、说明文件等，制定相关工作流程，提请甲方确认及审批。</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4</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第4月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执行工作流程，并在应用过程中对流程的可行性提出合理建议。</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5</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第5月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对运维体系应用的可用性进行自查。</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6</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第6月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根据云计算中心实际情况改进完善运维体系存在的不足。</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7</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第7月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开展风险点排查，进行风险分析及分类，提出整改及改进思路。</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8</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第8月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开展项目培训及相关演练工作。</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9</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第9月</w:t>
            </w:r>
          </w:p>
        </w:tc>
        <w:tc>
          <w:tcPr>
            <w:tcW w:w="7087" w:type="dxa"/>
            <w:vMerge w:val="restart"/>
            <w:tcBorders>
              <w:top w:val="nil"/>
              <w:left w:val="single" w:color="auto" w:sz="4" w:space="0"/>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回顾已建成并执行的体系及流程，执行检验体系及流程科学合理性和可执行分析。</w:t>
            </w: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10</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第10月</w:t>
            </w:r>
          </w:p>
        </w:tc>
        <w:tc>
          <w:tcPr>
            <w:tcW w:w="7087" w:type="dxa"/>
            <w:vMerge w:val="continue"/>
            <w:tcBorders>
              <w:top w:val="nil"/>
              <w:left w:val="single" w:color="auto" w:sz="4" w:space="0"/>
              <w:bottom w:val="single" w:color="auto" w:sz="4" w:space="0"/>
              <w:right w:val="double" w:color="auto" w:sz="6" w:space="0"/>
            </w:tcBorders>
            <w:vAlign w:val="center"/>
          </w:tcPr>
          <w:p>
            <w:pPr>
              <w:widowControl/>
              <w:spacing w:line="360" w:lineRule="exact"/>
              <w:jc w:val="left"/>
              <w:rPr>
                <w:rFonts w:hAnsi="宋体" w:cs="宋体"/>
                <w:kern w:val="0"/>
                <w:sz w:val="21"/>
                <w:szCs w:val="21"/>
              </w:rPr>
            </w:pPr>
          </w:p>
        </w:tc>
      </w:tr>
      <w:tr>
        <w:tblPrEx>
          <w:tblCellMar>
            <w:top w:w="0" w:type="dxa"/>
            <w:left w:w="108" w:type="dxa"/>
            <w:bottom w:w="0" w:type="dxa"/>
            <w:right w:w="108" w:type="dxa"/>
          </w:tblCellMar>
        </w:tblPrEx>
        <w:tc>
          <w:tcPr>
            <w:tcW w:w="800" w:type="dxa"/>
            <w:tcBorders>
              <w:top w:val="nil"/>
              <w:left w:val="double" w:color="auto" w:sz="6" w:space="0"/>
              <w:bottom w:val="single" w:color="auto" w:sz="4"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11</w:t>
            </w:r>
          </w:p>
        </w:tc>
        <w:tc>
          <w:tcPr>
            <w:tcW w:w="1162" w:type="dxa"/>
            <w:tcBorders>
              <w:top w:val="nil"/>
              <w:left w:val="nil"/>
              <w:bottom w:val="single" w:color="auto" w:sz="4"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第11月</w:t>
            </w:r>
          </w:p>
        </w:tc>
        <w:tc>
          <w:tcPr>
            <w:tcW w:w="7087" w:type="dxa"/>
            <w:tcBorders>
              <w:top w:val="nil"/>
              <w:left w:val="nil"/>
              <w:bottom w:val="single" w:color="auto" w:sz="4"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提出下一年度运维体系改进计划</w:t>
            </w:r>
          </w:p>
          <w:p>
            <w:pPr>
              <w:widowControl/>
              <w:spacing w:line="360" w:lineRule="exact"/>
              <w:jc w:val="left"/>
              <w:rPr>
                <w:rFonts w:hAnsi="宋体" w:cs="宋体"/>
                <w:kern w:val="0"/>
                <w:sz w:val="21"/>
                <w:szCs w:val="21"/>
              </w:rPr>
            </w:pPr>
          </w:p>
          <w:p>
            <w:pPr>
              <w:widowControl/>
              <w:spacing w:line="360" w:lineRule="exact"/>
              <w:jc w:val="left"/>
              <w:rPr>
                <w:rFonts w:hAnsi="宋体" w:cs="宋体"/>
                <w:kern w:val="0"/>
                <w:sz w:val="21"/>
                <w:szCs w:val="21"/>
              </w:rPr>
            </w:pPr>
            <w:r>
              <w:rPr>
                <w:rFonts w:hint="eastAsia" w:hAnsi="宋体" w:cs="宋体"/>
                <w:kern w:val="0"/>
                <w:sz w:val="21"/>
                <w:szCs w:val="21"/>
              </w:rPr>
              <w:t>提出下一年度基础设施建设计划与初步预算，报甲方审核</w:t>
            </w:r>
          </w:p>
        </w:tc>
      </w:tr>
      <w:tr>
        <w:tblPrEx>
          <w:tblCellMar>
            <w:top w:w="0" w:type="dxa"/>
            <w:left w:w="108" w:type="dxa"/>
            <w:bottom w:w="0" w:type="dxa"/>
            <w:right w:w="108" w:type="dxa"/>
          </w:tblCellMar>
        </w:tblPrEx>
        <w:tc>
          <w:tcPr>
            <w:tcW w:w="800" w:type="dxa"/>
            <w:tcBorders>
              <w:top w:val="nil"/>
              <w:left w:val="double" w:color="auto" w:sz="6" w:space="0"/>
              <w:bottom w:val="double" w:color="auto" w:sz="6" w:space="0"/>
              <w:right w:val="single" w:color="auto" w:sz="4" w:space="0"/>
            </w:tcBorders>
            <w:shd w:val="clear" w:color="auto" w:fill="auto"/>
            <w:noWrap/>
            <w:vAlign w:val="center"/>
          </w:tcPr>
          <w:p>
            <w:pPr>
              <w:widowControl/>
              <w:spacing w:line="360" w:lineRule="exact"/>
              <w:jc w:val="center"/>
              <w:rPr>
                <w:rFonts w:hAnsi="宋体" w:cs="宋体"/>
                <w:kern w:val="0"/>
                <w:sz w:val="21"/>
                <w:szCs w:val="21"/>
              </w:rPr>
            </w:pPr>
            <w:r>
              <w:rPr>
                <w:rFonts w:hint="eastAsia" w:hAnsi="宋体" w:cs="宋体"/>
                <w:kern w:val="0"/>
                <w:sz w:val="21"/>
                <w:szCs w:val="21"/>
              </w:rPr>
              <w:t>12</w:t>
            </w:r>
          </w:p>
        </w:tc>
        <w:tc>
          <w:tcPr>
            <w:tcW w:w="1162" w:type="dxa"/>
            <w:tcBorders>
              <w:top w:val="nil"/>
              <w:left w:val="nil"/>
              <w:bottom w:val="double" w:color="auto" w:sz="6" w:space="0"/>
              <w:right w:val="single" w:color="auto" w:sz="4" w:space="0"/>
            </w:tcBorders>
            <w:shd w:val="clear" w:color="auto" w:fill="auto"/>
            <w:vAlign w:val="center"/>
          </w:tcPr>
          <w:p>
            <w:pPr>
              <w:widowControl/>
              <w:spacing w:line="360" w:lineRule="exact"/>
              <w:jc w:val="center"/>
              <w:rPr>
                <w:rFonts w:hAnsi="宋体" w:cs="宋体"/>
                <w:kern w:val="0"/>
                <w:sz w:val="21"/>
                <w:szCs w:val="21"/>
              </w:rPr>
            </w:pPr>
            <w:r>
              <w:rPr>
                <w:rFonts w:hint="eastAsia" w:hAnsi="宋体" w:cs="宋体"/>
                <w:kern w:val="0"/>
                <w:sz w:val="21"/>
                <w:szCs w:val="21"/>
              </w:rPr>
              <w:t>第12月</w:t>
            </w:r>
          </w:p>
        </w:tc>
        <w:tc>
          <w:tcPr>
            <w:tcW w:w="7087" w:type="dxa"/>
            <w:tcBorders>
              <w:top w:val="nil"/>
              <w:left w:val="nil"/>
              <w:bottom w:val="double" w:color="auto" w:sz="6" w:space="0"/>
              <w:right w:val="double" w:color="auto" w:sz="6" w:space="0"/>
            </w:tcBorders>
            <w:shd w:val="clear" w:color="auto" w:fill="auto"/>
            <w:vAlign w:val="center"/>
          </w:tcPr>
          <w:p>
            <w:pPr>
              <w:widowControl/>
              <w:spacing w:line="360" w:lineRule="exact"/>
              <w:jc w:val="left"/>
              <w:rPr>
                <w:rFonts w:hAnsi="宋体" w:cs="宋体"/>
                <w:kern w:val="0"/>
                <w:sz w:val="21"/>
                <w:szCs w:val="21"/>
              </w:rPr>
            </w:pPr>
            <w:r>
              <w:rPr>
                <w:rFonts w:hint="eastAsia" w:hAnsi="宋体" w:cs="宋体"/>
                <w:kern w:val="0"/>
                <w:sz w:val="21"/>
                <w:szCs w:val="21"/>
              </w:rPr>
              <w:t>提出下一年度运维工作计划与初步预算，报甲方审核</w:t>
            </w:r>
          </w:p>
        </w:tc>
      </w:tr>
    </w:tbl>
    <w:p>
      <w:pPr>
        <w:ind w:firstLine="480" w:firstLineChars="200"/>
        <w:rPr>
          <w:rFonts w:hAnsi="宋体" w:cs="Arial"/>
        </w:rPr>
      </w:pPr>
    </w:p>
    <w:p>
      <w:pPr>
        <w:ind w:firstLine="480" w:firstLineChars="200"/>
        <w:rPr>
          <w:rFonts w:hAnsi="宋体" w:cs="Arial"/>
        </w:rPr>
      </w:pPr>
      <w:r>
        <w:rPr>
          <w:rFonts w:hint="eastAsia" w:hAnsi="宋体" w:cs="Arial"/>
        </w:rPr>
        <w:t>（1）本项目总服务期12个月以内，实施进度要求如下：</w:t>
      </w:r>
    </w:p>
    <w:p>
      <w:pPr>
        <w:ind w:firstLine="480" w:firstLineChars="200"/>
        <w:rPr>
          <w:rFonts w:hAnsi="宋体" w:cs="Arial"/>
        </w:rPr>
      </w:pPr>
      <w:r>
        <w:rPr>
          <w:rFonts w:hint="eastAsia" w:hAnsi="宋体" w:cs="Arial"/>
        </w:rPr>
        <w:t>（2）中标方应提交项目服务工作的方式、方法、过程步骤、按阶段分解的详细计划、对应计划应提交的工作成果、需要采购方协调与配合的事项，并经采购方审核、批准。</w:t>
      </w:r>
    </w:p>
    <w:p>
      <w:pPr>
        <w:ind w:firstLine="480" w:firstLineChars="200"/>
        <w:rPr>
          <w:rFonts w:hAnsi="宋体" w:cs="Arial"/>
        </w:rPr>
      </w:pPr>
      <w:r>
        <w:rPr>
          <w:rFonts w:hint="eastAsia" w:hAnsi="宋体" w:cs="Arial"/>
        </w:rPr>
        <w:t>（3）采购方有权监督和管理本项目的运维管理、日常监控巡检、预防性维护等各项工作，中标方必须接受并服从采购方的监督、管理要求，无条件提供中间过程工作成果。</w:t>
      </w:r>
    </w:p>
    <w:p>
      <w:pPr>
        <w:ind w:firstLine="480" w:firstLineChars="200"/>
        <w:rPr>
          <w:rFonts w:hAnsi="宋体" w:cs="Arial"/>
        </w:rPr>
      </w:pPr>
      <w:r>
        <w:rPr>
          <w:rFonts w:hint="eastAsia" w:hAnsi="宋体" w:cs="Arial"/>
        </w:rPr>
        <w:t>（4）中标方在项目服务实施过程中必须分别按周、月提交进度报告，对故障、问题及进度延迟原因进行说明，制定合理的解决措施并有效执行。</w:t>
      </w:r>
    </w:p>
    <w:p>
      <w:pPr>
        <w:ind w:firstLine="480" w:firstLineChars="200"/>
        <w:rPr>
          <w:rFonts w:hAnsi="宋体" w:cs="Arial"/>
        </w:rPr>
      </w:pPr>
      <w:r>
        <w:rPr>
          <w:rFonts w:hint="eastAsia" w:hAnsi="宋体" w:cs="Arial"/>
        </w:rPr>
        <w:t>（5）中标方在项目实施过程中应加强问题管理，特别对采购方提出的问题应在约定的时间内及时解决，并提交书面报告，否则由此导致的进度延迟责任由中标方承担。</w:t>
      </w:r>
    </w:p>
    <w:p>
      <w:pPr>
        <w:ind w:firstLine="480" w:firstLineChars="200"/>
        <w:rPr>
          <w:rFonts w:hAnsi="宋体" w:cs="Arial"/>
        </w:rPr>
      </w:pPr>
      <w:r>
        <w:rPr>
          <w:rFonts w:hint="eastAsia" w:hAnsi="宋体" w:cs="Arial"/>
        </w:rPr>
        <w:t>（6）中标方应提供切实可行的实施进度计划，至少需要包括进度计划、里程碑、交付成果、人员安排和应急计划(方案)等。</w:t>
      </w:r>
    </w:p>
    <w:p>
      <w:pPr>
        <w:pStyle w:val="9"/>
        <w:sectPr>
          <w:headerReference r:id="rId19" w:type="default"/>
          <w:footerReference r:id="rId21" w:type="default"/>
          <w:headerReference r:id="rId20" w:type="even"/>
          <w:footerReference r:id="rId22" w:type="even"/>
          <w:pgSz w:w="11906" w:h="16838"/>
          <w:pgMar w:top="1418" w:right="1134" w:bottom="1418" w:left="1701" w:header="851" w:footer="992" w:gutter="0"/>
          <w:cols w:space="425" w:num="1"/>
          <w:docGrid w:type="lines" w:linePitch="436" w:charSpace="195"/>
        </w:sectPr>
      </w:pPr>
    </w:p>
    <w:p>
      <w:pPr>
        <w:pStyle w:val="9"/>
        <w:numPr>
          <w:ilvl w:val="6"/>
          <w:numId w:val="72"/>
        </w:numPr>
      </w:pPr>
      <w:bookmarkStart w:id="147" w:name="_Toc6929"/>
      <w:r>
        <w:rPr>
          <w:rFonts w:hint="eastAsia"/>
        </w:rPr>
        <w:t>服务承诺和技术培训</w:t>
      </w:r>
      <w:bookmarkEnd w:id="147"/>
    </w:p>
    <w:p>
      <w:pPr>
        <w:pStyle w:val="3"/>
        <w:numPr>
          <w:ilvl w:val="0"/>
          <w:numId w:val="72"/>
        </w:numPr>
        <w:rPr>
          <w:color w:val="auto"/>
        </w:rPr>
      </w:pPr>
    </w:p>
    <w:p>
      <w:pPr>
        <w:pStyle w:val="4"/>
        <w:numPr>
          <w:ilvl w:val="1"/>
          <w:numId w:val="72"/>
        </w:numPr>
      </w:pPr>
      <w:bookmarkStart w:id="148" w:name="_Toc2155"/>
      <w:r>
        <w:rPr>
          <w:rFonts w:hint="eastAsia"/>
        </w:rPr>
        <w:t>服务承诺</w:t>
      </w:r>
      <w:bookmarkEnd w:id="148"/>
    </w:p>
    <w:p>
      <w:pPr>
        <w:pStyle w:val="135"/>
        <w:numPr>
          <w:ilvl w:val="1"/>
          <w:numId w:val="139"/>
        </w:numPr>
        <w:ind w:left="0" w:firstLine="420" w:firstLineChars="175"/>
        <w:rPr>
          <w:rFonts w:hAnsi="宋体" w:cs="Arial"/>
        </w:rPr>
      </w:pPr>
      <w:r>
        <w:rPr>
          <w:rFonts w:hint="eastAsia" w:hAnsi="宋体" w:cs="Arial"/>
        </w:rPr>
        <w:t>在系统发生故障的情况下，中标方承诺一般故障响应时限不超过30分钟，处理时限（个别业务中断风险排除）不超过120分钟；严重故障响应，响应时限不超过10分钟，一经确认，立刻上报，自故障发生到上报机房负责人时限不得超过15分钟，处理时限（相关风险排除、中断业务恢复）不超过48小时；重大故障响应，需立即响应，一经确认，立刻上报；处理时限需由甲乙双方协商决定；紧急事件，如接到机房监控出现严重告警、火警，电力告警、某关键服务器故障、网络关键设备故障导致网络瘫痪等，造成大面积影响的必须立即采取实际性措施进行抢修维护，直到故障排除为止。</w:t>
      </w:r>
    </w:p>
    <w:p>
      <w:pPr>
        <w:pStyle w:val="135"/>
        <w:numPr>
          <w:ilvl w:val="1"/>
          <w:numId w:val="139"/>
        </w:numPr>
        <w:ind w:left="0" w:firstLine="420" w:firstLineChars="175"/>
        <w:rPr>
          <w:rFonts w:hAnsi="宋体" w:cs="Arial"/>
        </w:rPr>
      </w:pPr>
      <w:r>
        <w:rPr>
          <w:rFonts w:hint="eastAsia" w:hAnsi="宋体" w:cs="Arial"/>
        </w:rPr>
        <w:t>中标方应详细说明为本工程所设置的服务机构及人员构成情况。</w:t>
      </w:r>
    </w:p>
    <w:p>
      <w:pPr>
        <w:pStyle w:val="135"/>
        <w:numPr>
          <w:ilvl w:val="1"/>
          <w:numId w:val="139"/>
        </w:numPr>
        <w:ind w:left="0" w:firstLine="420" w:firstLineChars="175"/>
        <w:rPr>
          <w:rFonts w:hAnsi="宋体" w:cs="Arial"/>
        </w:rPr>
      </w:pPr>
      <w:r>
        <w:rPr>
          <w:rFonts w:hint="eastAsia" w:hAnsi="宋体" w:cs="Arial"/>
        </w:rPr>
        <w:t>中标方须指定本工程的总负责人和项目经理，提供总负责人、技术负责人和项目经理手机联络方式，并24小时开机。总负责人必须是中标方副总级别(或相当于副总级别)以上人员。</w:t>
      </w:r>
    </w:p>
    <w:p>
      <w:pPr>
        <w:pStyle w:val="135"/>
        <w:numPr>
          <w:ilvl w:val="1"/>
          <w:numId w:val="139"/>
        </w:numPr>
        <w:ind w:left="0" w:firstLine="420" w:firstLineChars="175"/>
        <w:rPr>
          <w:rFonts w:hAnsi="宋体" w:cs="Arial"/>
        </w:rPr>
      </w:pPr>
      <w:r>
        <w:rPr>
          <w:rFonts w:hint="eastAsia" w:hAnsi="宋体" w:cs="Arial"/>
        </w:rPr>
        <w:t>中标方提供的运行维护服务至少包括以下内容：</w:t>
      </w:r>
    </w:p>
    <w:p>
      <w:pPr>
        <w:pStyle w:val="135"/>
        <w:numPr>
          <w:ilvl w:val="0"/>
          <w:numId w:val="140"/>
        </w:numPr>
        <w:ind w:left="960" w:leftChars="250" w:hanging="360" w:hangingChars="150"/>
        <w:rPr>
          <w:rFonts w:hAnsi="宋体" w:cs="Arial"/>
        </w:rPr>
      </w:pPr>
      <w:r>
        <w:rPr>
          <w:rFonts w:hint="eastAsia" w:hAnsi="宋体" w:cs="Arial"/>
        </w:rPr>
        <w:t>与采购方共同完成日常维护和系统管理；</w:t>
      </w:r>
    </w:p>
    <w:p>
      <w:pPr>
        <w:pStyle w:val="135"/>
        <w:numPr>
          <w:ilvl w:val="0"/>
          <w:numId w:val="140"/>
        </w:numPr>
        <w:ind w:left="960" w:leftChars="250" w:hanging="360" w:hangingChars="150"/>
        <w:rPr>
          <w:rFonts w:hAnsi="宋体" w:cs="Arial"/>
        </w:rPr>
      </w:pPr>
      <w:r>
        <w:rPr>
          <w:rFonts w:hint="eastAsia" w:hAnsi="宋体" w:cs="Arial"/>
        </w:rPr>
        <w:t>相关的系统检测、跟踪、监控、优化、更新等技术服务；</w:t>
      </w:r>
    </w:p>
    <w:p>
      <w:pPr>
        <w:pStyle w:val="135"/>
        <w:numPr>
          <w:ilvl w:val="0"/>
          <w:numId w:val="140"/>
        </w:numPr>
        <w:ind w:left="960" w:leftChars="250" w:hanging="360" w:hangingChars="150"/>
        <w:rPr>
          <w:rFonts w:hAnsi="宋体" w:cs="Arial"/>
        </w:rPr>
      </w:pPr>
      <w:r>
        <w:rPr>
          <w:rFonts w:hint="eastAsia" w:hAnsi="宋体" w:cs="Arial"/>
        </w:rPr>
        <w:t>中标方应自行提供维护工具。</w:t>
      </w:r>
    </w:p>
    <w:p>
      <w:pPr>
        <w:pStyle w:val="135"/>
        <w:numPr>
          <w:ilvl w:val="1"/>
          <w:numId w:val="139"/>
        </w:numPr>
        <w:ind w:left="0" w:firstLine="420" w:firstLineChars="175"/>
        <w:rPr>
          <w:rFonts w:hAnsi="宋体" w:cs="Arial"/>
        </w:rPr>
      </w:pPr>
      <w:r>
        <w:rPr>
          <w:rFonts w:hint="eastAsia" w:hAnsi="宋体" w:cs="Arial"/>
        </w:rPr>
        <w:t>中标方应在建议书中详细说明各项售后服务的范围、程度和费用。</w:t>
      </w:r>
    </w:p>
    <w:p>
      <w:pPr>
        <w:pStyle w:val="135"/>
        <w:numPr>
          <w:ilvl w:val="1"/>
          <w:numId w:val="139"/>
        </w:numPr>
        <w:ind w:left="0" w:firstLine="420" w:firstLineChars="175"/>
        <w:rPr>
          <w:rFonts w:hAnsi="宋体" w:cs="Arial"/>
        </w:rPr>
      </w:pPr>
      <w:r>
        <w:rPr>
          <w:rFonts w:hint="eastAsia" w:hAnsi="宋体" w:cs="Arial"/>
        </w:rPr>
        <w:t>故障处理程序</w:t>
      </w:r>
    </w:p>
    <w:p>
      <w:pPr>
        <w:pStyle w:val="135"/>
        <w:numPr>
          <w:ilvl w:val="0"/>
          <w:numId w:val="140"/>
        </w:numPr>
        <w:ind w:left="960" w:leftChars="250" w:hanging="360" w:hangingChars="150"/>
        <w:rPr>
          <w:rFonts w:hAnsi="宋体" w:cs="Arial"/>
        </w:rPr>
      </w:pPr>
      <w:r>
        <w:rPr>
          <w:rFonts w:hint="eastAsia" w:hAnsi="宋体" w:cs="Arial"/>
        </w:rPr>
        <w:t>中标方应根据项目的实际运行情况提供一套完整的故障处理程序，包括故障管理、故障处理流程、故障申报、故障处理、故障跟踪、修复验证、故障处理反馈、故障记录备案等。</w:t>
      </w:r>
    </w:p>
    <w:p>
      <w:pPr>
        <w:pStyle w:val="135"/>
        <w:numPr>
          <w:ilvl w:val="0"/>
          <w:numId w:val="140"/>
        </w:numPr>
        <w:ind w:left="960" w:leftChars="250" w:hanging="360" w:hangingChars="150"/>
        <w:rPr>
          <w:rFonts w:hAnsi="宋体" w:cs="Arial"/>
        </w:rPr>
      </w:pPr>
      <w:r>
        <w:rPr>
          <w:rFonts w:hint="eastAsia" w:hAnsi="宋体" w:cs="Arial"/>
        </w:rPr>
        <w:t>中标方不能以任何理由拒绝采购方的故障申告请求，中标方必须对采购方的故障申告请求作出即时的、明确的答复，并应完全承担由于中标方的拒绝而引起的相应后果。</w:t>
      </w:r>
    </w:p>
    <w:p>
      <w:pPr>
        <w:pStyle w:val="135"/>
        <w:numPr>
          <w:ilvl w:val="0"/>
          <w:numId w:val="140"/>
        </w:numPr>
        <w:ind w:left="960" w:leftChars="250" w:hanging="360" w:hangingChars="150"/>
        <w:rPr>
          <w:rFonts w:hAnsi="宋体" w:cs="Arial"/>
        </w:rPr>
      </w:pPr>
      <w:r>
        <w:rPr>
          <w:rFonts w:hint="eastAsia" w:hAnsi="宋体" w:cs="Arial"/>
        </w:rPr>
        <w:t>中标方应在服务实施方案中根据可能影响系统运行的紧急故障、重要故障、一般故障等进行故障的分级定义，故障级别划分必需满足采购方对故障确认时限与恢复时限的处理。</w:t>
      </w:r>
    </w:p>
    <w:p>
      <w:pPr>
        <w:pStyle w:val="135"/>
        <w:numPr>
          <w:ilvl w:val="0"/>
          <w:numId w:val="140"/>
        </w:numPr>
        <w:ind w:left="960" w:leftChars="250" w:hanging="360" w:hangingChars="150"/>
        <w:rPr>
          <w:rFonts w:hAnsi="宋体" w:cs="Arial"/>
        </w:rPr>
      </w:pPr>
      <w:r>
        <w:rPr>
          <w:rFonts w:hint="eastAsia" w:hAnsi="宋体" w:cs="Arial"/>
        </w:rPr>
        <w:t>对于超时诊断(即在限时内不能对设备故障确诊)，中标方应有明确的故障上报程序直至故障确诊并排除故障为止。</w:t>
      </w:r>
    </w:p>
    <w:p>
      <w:pPr>
        <w:pStyle w:val="135"/>
        <w:numPr>
          <w:ilvl w:val="0"/>
          <w:numId w:val="140"/>
        </w:numPr>
        <w:ind w:left="960" w:leftChars="250" w:hanging="360" w:hangingChars="150"/>
        <w:rPr>
          <w:rFonts w:hAnsi="宋体" w:cs="Arial"/>
        </w:rPr>
      </w:pPr>
      <w:r>
        <w:rPr>
          <w:rFonts w:hint="eastAsia" w:hAnsi="宋体" w:cs="Arial"/>
        </w:rPr>
        <w:t>中标方分配处理故障的系统工程师应在30分钟内对故障申告实现响应，并与采购方故障申报人取得联系。</w:t>
      </w:r>
    </w:p>
    <w:p>
      <w:pPr>
        <w:pStyle w:val="135"/>
        <w:numPr>
          <w:ilvl w:val="0"/>
          <w:numId w:val="140"/>
        </w:numPr>
        <w:ind w:left="960" w:leftChars="250" w:hanging="360" w:hangingChars="150"/>
        <w:rPr>
          <w:rFonts w:hAnsi="宋体" w:cs="Arial"/>
        </w:rPr>
      </w:pPr>
      <w:r>
        <w:rPr>
          <w:rFonts w:hint="eastAsia" w:hAnsi="宋体" w:cs="Arial"/>
        </w:rPr>
        <w:t>中标方系统工程师必须将故障的处理步骤、描述和解决方案记录在故障处理系统中，现场服务结束后，工程师填写维护实施报告。</w:t>
      </w:r>
    </w:p>
    <w:p>
      <w:pPr>
        <w:pStyle w:val="135"/>
        <w:numPr>
          <w:ilvl w:val="0"/>
          <w:numId w:val="140"/>
        </w:numPr>
        <w:ind w:left="960" w:leftChars="250" w:hanging="360" w:hangingChars="150"/>
        <w:rPr>
          <w:rFonts w:hAnsi="宋体" w:cs="Arial"/>
        </w:rPr>
      </w:pPr>
      <w:r>
        <w:rPr>
          <w:rFonts w:hint="eastAsia" w:hAnsi="宋体" w:cs="Arial"/>
        </w:rPr>
        <w:t>中标方应在故障修复时限内完成故障处理。对于无法在规定时限内恢复故障的，应提出应急方案，并经采购方认可后实施应急方案，保障系统正常运行。</w:t>
      </w:r>
    </w:p>
    <w:p>
      <w:pPr>
        <w:pStyle w:val="135"/>
        <w:numPr>
          <w:ilvl w:val="0"/>
          <w:numId w:val="140"/>
        </w:numPr>
        <w:ind w:left="960" w:leftChars="250" w:hanging="360" w:hangingChars="150"/>
        <w:rPr>
          <w:rFonts w:hAnsi="宋体" w:cs="Arial"/>
        </w:rPr>
      </w:pPr>
      <w:r>
        <w:rPr>
          <w:rFonts w:hint="eastAsia" w:hAnsi="宋体" w:cs="Arial"/>
        </w:rPr>
        <w:t>对于硬件故障，中标方工程师处理硬件更换时，应负责跟踪硬件更换、响应情况，并在故障记录系统中填写相应的记录、描述等。</w:t>
      </w:r>
    </w:p>
    <w:p>
      <w:pPr>
        <w:pStyle w:val="135"/>
        <w:numPr>
          <w:ilvl w:val="0"/>
          <w:numId w:val="140"/>
        </w:numPr>
        <w:ind w:left="960" w:leftChars="250" w:hanging="360" w:hangingChars="150"/>
        <w:rPr>
          <w:rFonts w:hAnsi="宋体" w:cs="Arial"/>
        </w:rPr>
      </w:pPr>
      <w:r>
        <w:rPr>
          <w:rFonts w:hint="eastAsia" w:hAnsi="宋体" w:cs="Arial"/>
        </w:rPr>
        <w:t>当采购方系统出现系统软件故障时，中标方在收到采购方明确电话或书面传真的故障申告后，应在规定的软件故障恢复时限内完成故障恢复。对于无法在规定时限内恢复故障的应提出应急方案，并在故障恢复时限内取得采购方认可后负责完成应急方案的实施。</w:t>
      </w:r>
    </w:p>
    <w:p>
      <w:pPr>
        <w:pStyle w:val="135"/>
        <w:numPr>
          <w:ilvl w:val="0"/>
          <w:numId w:val="140"/>
        </w:numPr>
        <w:ind w:left="960" w:leftChars="250" w:hanging="360" w:hangingChars="150"/>
        <w:rPr>
          <w:rFonts w:hAnsi="宋体" w:cs="Arial"/>
        </w:rPr>
      </w:pPr>
      <w:r>
        <w:rPr>
          <w:rFonts w:hint="eastAsia" w:hAnsi="宋体" w:cs="Arial"/>
        </w:rPr>
        <w:t>故障恢复必需由采购方书面确认后，方可结束故障处理全过程。</w:t>
      </w:r>
    </w:p>
    <w:p>
      <w:pPr>
        <w:pStyle w:val="135"/>
        <w:numPr>
          <w:ilvl w:val="0"/>
          <w:numId w:val="140"/>
        </w:numPr>
        <w:ind w:left="960" w:leftChars="250" w:hanging="360" w:hangingChars="150"/>
        <w:rPr>
          <w:rFonts w:hAnsi="宋体" w:cs="Arial"/>
        </w:rPr>
      </w:pPr>
      <w:r>
        <w:rPr>
          <w:rFonts w:hint="eastAsia" w:hAnsi="宋体" w:cs="Arial"/>
        </w:rPr>
        <w:t>在系统发生严重故障的情况下，中标方能否承诺比采购方规定时限内以更快的时间赶赴现场，并在采购方规定时限内以更快的时间排除故障。如有，将斟情加分。</w:t>
      </w:r>
    </w:p>
    <w:p>
      <w:pPr>
        <w:pStyle w:val="135"/>
        <w:numPr>
          <w:ilvl w:val="0"/>
          <w:numId w:val="140"/>
        </w:numPr>
        <w:ind w:left="960" w:leftChars="250" w:hanging="360" w:hangingChars="150"/>
        <w:rPr>
          <w:rFonts w:hAnsi="宋体" w:cs="Arial"/>
        </w:rPr>
      </w:pPr>
      <w:r>
        <w:rPr>
          <w:rFonts w:hint="eastAsia" w:hAnsi="宋体" w:cs="Arial"/>
        </w:rPr>
        <w:t>中标方对所有的维护工作都需要提交书面报告，并加盖公章和维护工程师签字确认，采购方对中标方提交的维护记录进行保管和存档。</w:t>
      </w:r>
    </w:p>
    <w:p>
      <w:pPr>
        <w:pStyle w:val="135"/>
        <w:numPr>
          <w:ilvl w:val="1"/>
          <w:numId w:val="139"/>
        </w:numPr>
        <w:ind w:left="0" w:firstLine="420" w:firstLineChars="175"/>
        <w:rPr>
          <w:rFonts w:hAnsi="宋体" w:cs="Arial"/>
        </w:rPr>
      </w:pPr>
      <w:r>
        <w:rPr>
          <w:rFonts w:hint="eastAsia" w:hAnsi="宋体" w:cs="Arial"/>
        </w:rPr>
        <w:t>中标方未能按规定履行承诺的，采购方有权另找第三方进行提供维护服务，其费用由中标方承担。</w:t>
      </w:r>
    </w:p>
    <w:p>
      <w:pPr>
        <w:pStyle w:val="135"/>
        <w:numPr>
          <w:ilvl w:val="1"/>
          <w:numId w:val="139"/>
        </w:numPr>
        <w:ind w:left="0" w:firstLine="420" w:firstLineChars="175"/>
        <w:rPr>
          <w:rFonts w:hAnsi="宋体" w:cs="Arial"/>
        </w:rPr>
      </w:pPr>
      <w:r>
        <w:rPr>
          <w:rFonts w:hint="eastAsia" w:hAnsi="宋体" w:cs="Arial"/>
        </w:rPr>
        <w:t>投标人应视自身能力在投标文件中可提供更优、更合理的维护服务承诺。</w:t>
      </w:r>
    </w:p>
    <w:p>
      <w:pPr>
        <w:pStyle w:val="135"/>
        <w:numPr>
          <w:ilvl w:val="1"/>
          <w:numId w:val="139"/>
        </w:numPr>
        <w:ind w:left="0" w:firstLine="420" w:firstLineChars="175"/>
        <w:rPr>
          <w:rFonts w:hAnsi="宋体" w:cs="Arial"/>
        </w:rPr>
      </w:pPr>
      <w:r>
        <w:rPr>
          <w:rFonts w:hint="eastAsia" w:hAnsi="宋体" w:cs="Arial"/>
        </w:rPr>
        <w:t>中标方应当根据要求派遣服务工程师驻于采购方现场，参与项目的全面服务工作，按采购方正常作息时间上班。该工程师应具有相应的技术服务经验，并提供相应的专业资格证明文件供采购方考察及认可。</w:t>
      </w:r>
    </w:p>
    <w:p>
      <w:pPr>
        <w:pStyle w:val="135"/>
        <w:numPr>
          <w:ilvl w:val="1"/>
          <w:numId w:val="139"/>
        </w:numPr>
        <w:ind w:left="0" w:firstLine="420" w:firstLineChars="175"/>
        <w:rPr>
          <w:rFonts w:hAnsi="宋体" w:cs="Arial"/>
        </w:rPr>
      </w:pPr>
      <w:r>
        <w:rPr>
          <w:rFonts w:hint="eastAsia" w:hAnsi="宋体" w:cs="Arial"/>
        </w:rPr>
        <w:t>当中标方人员发生变动时，需提前15天通知采购方。中标方的新人员名单须由双方共同确认，在未确认前，原人员必须继续承担相应职责。</w:t>
      </w:r>
    </w:p>
    <w:p>
      <w:pPr>
        <w:pStyle w:val="4"/>
        <w:numPr>
          <w:ilvl w:val="1"/>
          <w:numId w:val="72"/>
        </w:numPr>
      </w:pPr>
      <w:bookmarkStart w:id="149" w:name="_Toc19451"/>
      <w:r>
        <w:rPr>
          <w:rFonts w:hint="eastAsia"/>
        </w:rPr>
        <w:t>技术培训</w:t>
      </w:r>
      <w:bookmarkEnd w:id="149"/>
    </w:p>
    <w:p>
      <w:pPr>
        <w:ind w:firstLine="480" w:firstLineChars="200"/>
        <w:rPr>
          <w:rFonts w:hAnsi="宋体" w:cs="Arial"/>
        </w:rPr>
      </w:pPr>
      <w:r>
        <w:rPr>
          <w:rFonts w:hint="eastAsia" w:hAnsi="宋体" w:cs="Arial"/>
        </w:rPr>
        <w:t>（1）中标方提供的培训应包括运维团队人员培训和甲方单位管理人员培训等。</w:t>
      </w:r>
    </w:p>
    <w:p>
      <w:pPr>
        <w:ind w:firstLine="480" w:firstLineChars="200"/>
        <w:rPr>
          <w:rFonts w:hAnsi="宋体" w:cs="Arial"/>
        </w:rPr>
      </w:pPr>
      <w:r>
        <w:rPr>
          <w:rFonts w:hint="eastAsia" w:hAnsi="宋体" w:cs="Arial"/>
        </w:rPr>
        <w:t>（2）中标方应对采购方系统管理人员进行全面的数据库与系统管理、设备故障处理、日常维护等培训工作。当系统出现一般性维护问题时，采购方系统管理人员应能简单诊断和处理。</w:t>
      </w:r>
    </w:p>
    <w:p>
      <w:pPr>
        <w:ind w:firstLine="480" w:firstLineChars="200"/>
        <w:rPr>
          <w:rFonts w:hAnsi="宋体" w:cs="Arial"/>
        </w:rPr>
      </w:pPr>
      <w:r>
        <w:rPr>
          <w:rFonts w:hint="eastAsia" w:hAnsi="宋体" w:cs="Arial"/>
        </w:rPr>
        <w:t>（3）中标方应对采购方及有关部门的系统管理人员进行日常运维知识培训，使系统管理人员能够熟悉各种运维知识。</w:t>
      </w:r>
    </w:p>
    <w:p>
      <w:pPr>
        <w:ind w:firstLine="480" w:firstLineChars="200"/>
        <w:rPr>
          <w:rFonts w:hAnsi="宋体" w:cs="Arial"/>
        </w:rPr>
      </w:pPr>
      <w:r>
        <w:rPr>
          <w:rFonts w:hint="eastAsia" w:hAnsi="宋体" w:cs="Arial"/>
        </w:rPr>
        <w:t>（4）培训教材应主要使用简体中文，辅以英文；为进行有效的技术交流，所有培训教员必须具备熟练的中文会话和书写能力。中标方应提供培训用的系统使用文档、操作手册、演示PPT等培训材料。</w:t>
      </w:r>
    </w:p>
    <w:p>
      <w:pPr>
        <w:ind w:firstLine="480" w:firstLineChars="200"/>
        <w:rPr>
          <w:rFonts w:hAnsi="宋体" w:cs="Arial"/>
        </w:rPr>
      </w:pPr>
      <w:r>
        <w:rPr>
          <w:rFonts w:hint="eastAsia" w:hAnsi="宋体" w:cs="Arial"/>
        </w:rPr>
        <w:t>（5）中标方对系统管理人员的培训内容应包括运维管理要点、运维事件处理流程、风险防控，基础设备应急处理操作、基本维护知识等内容，至少包括以下培训内容：</w:t>
      </w:r>
    </w:p>
    <w:p>
      <w:pPr>
        <w:pStyle w:val="11"/>
        <w:numPr>
          <w:ilvl w:val="8"/>
          <w:numId w:val="72"/>
        </w:numPr>
      </w:pPr>
      <w:bookmarkStart w:id="150" w:name="_Toc165045325"/>
      <w:r>
        <w:rPr>
          <w:rFonts w:hint="eastAsia"/>
        </w:rPr>
        <w:t>培训内容</w:t>
      </w:r>
      <w:bookmarkEnd w:id="150"/>
    </w:p>
    <w:tbl>
      <w:tblPr>
        <w:tblStyle w:val="75"/>
        <w:tblW w:w="5000" w:type="pct"/>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8185"/>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73" w:type="dxa"/>
            <w:tcBorders>
              <w:top w:val="double" w:color="auto" w:sz="4" w:space="0"/>
              <w:left w:val="double" w:color="auto" w:sz="4" w:space="0"/>
              <w:bottom w:val="single" w:color="auto" w:sz="4" w:space="0"/>
              <w:right w:val="single" w:color="auto" w:sz="4" w:space="0"/>
              <w:tl2br w:val="nil"/>
              <w:tr2bl w:val="nil"/>
            </w:tcBorders>
            <w:shd w:val="clear" w:color="auto" w:fill="BFBFBF"/>
            <w:vAlign w:val="center"/>
          </w:tcPr>
          <w:p>
            <w:pPr>
              <w:pStyle w:val="1748"/>
              <w:snapToGrid/>
              <w:spacing w:line="360" w:lineRule="exact"/>
              <w:jc w:val="center"/>
            </w:pPr>
            <w:r>
              <w:rPr>
                <w:rFonts w:hint="eastAsia"/>
              </w:rPr>
              <w:t>序号</w:t>
            </w:r>
            <w:bookmarkStart w:id="151" w:name="_Toc479625413"/>
            <w:bookmarkEnd w:id="151"/>
          </w:p>
        </w:tc>
        <w:tc>
          <w:tcPr>
            <w:tcW w:w="7968" w:type="dxa"/>
            <w:tcBorders>
              <w:top w:val="double" w:color="auto" w:sz="4" w:space="0"/>
              <w:bottom w:val="single" w:color="auto" w:sz="4" w:space="0"/>
              <w:right w:val="double" w:color="auto" w:sz="4" w:space="0"/>
              <w:tl2br w:val="nil"/>
              <w:tr2bl w:val="nil"/>
            </w:tcBorders>
            <w:shd w:val="clear" w:color="auto" w:fill="BFBFBF"/>
            <w:vAlign w:val="center"/>
          </w:tcPr>
          <w:p>
            <w:pPr>
              <w:pStyle w:val="1748"/>
              <w:snapToGrid/>
              <w:spacing w:line="360" w:lineRule="exact"/>
              <w:jc w:val="center"/>
            </w:pPr>
            <w:r>
              <w:rPr>
                <w:rFonts w:hint="eastAsia"/>
              </w:rPr>
              <w:t>培训内容</w:t>
            </w:r>
            <w:bookmarkStart w:id="152" w:name="_Toc479625415"/>
            <w:bookmarkEnd w:id="152"/>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73" w:type="dxa"/>
            <w:vAlign w:val="center"/>
          </w:tcPr>
          <w:p>
            <w:pPr>
              <w:pStyle w:val="1748"/>
              <w:snapToGrid/>
              <w:spacing w:line="360" w:lineRule="exact"/>
              <w:jc w:val="center"/>
              <w:rPr>
                <w:rFonts w:ascii="宋体" w:hAnsi="宋体"/>
                <w:b w:val="0"/>
                <w:bCs/>
              </w:rPr>
            </w:pPr>
            <w:bookmarkStart w:id="153" w:name="_Toc479625421"/>
            <w:bookmarkEnd w:id="153"/>
            <w:bookmarkStart w:id="154" w:name="_Toc479625417"/>
            <w:bookmarkEnd w:id="154"/>
            <w:r>
              <w:rPr>
                <w:rFonts w:hint="eastAsia" w:ascii="宋体" w:hAnsi="宋体"/>
                <w:b w:val="0"/>
                <w:bCs/>
              </w:rPr>
              <w:t>1</w:t>
            </w:r>
          </w:p>
        </w:tc>
        <w:tc>
          <w:tcPr>
            <w:tcW w:w="7968" w:type="dxa"/>
            <w:vAlign w:val="center"/>
          </w:tcPr>
          <w:p>
            <w:pPr>
              <w:pStyle w:val="1748"/>
              <w:snapToGrid/>
              <w:spacing w:line="360" w:lineRule="exact"/>
              <w:rPr>
                <w:b w:val="0"/>
                <w:bCs/>
              </w:rPr>
            </w:pPr>
            <w:r>
              <w:rPr>
                <w:rFonts w:hint="eastAsia"/>
                <w:b w:val="0"/>
                <w:bCs/>
              </w:rPr>
              <w:t>运维管理要点培训</w:t>
            </w:r>
            <w:bookmarkStart w:id="155" w:name="_Toc479625423"/>
            <w:bookmarkEnd w:id="155"/>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73" w:type="dxa"/>
            <w:vAlign w:val="center"/>
          </w:tcPr>
          <w:p>
            <w:pPr>
              <w:pStyle w:val="1748"/>
              <w:snapToGrid/>
              <w:spacing w:line="360" w:lineRule="exact"/>
              <w:jc w:val="center"/>
              <w:rPr>
                <w:rFonts w:ascii="宋体" w:hAnsi="宋体"/>
                <w:b w:val="0"/>
                <w:bCs/>
              </w:rPr>
            </w:pPr>
            <w:bookmarkStart w:id="156" w:name="_Toc479625425"/>
            <w:bookmarkEnd w:id="156"/>
            <w:r>
              <w:rPr>
                <w:rFonts w:hint="eastAsia" w:ascii="宋体" w:hAnsi="宋体"/>
                <w:b w:val="0"/>
                <w:bCs/>
              </w:rPr>
              <w:t>2</w:t>
            </w:r>
          </w:p>
        </w:tc>
        <w:tc>
          <w:tcPr>
            <w:tcW w:w="7968" w:type="dxa"/>
            <w:vAlign w:val="center"/>
          </w:tcPr>
          <w:p>
            <w:pPr>
              <w:pStyle w:val="1748"/>
              <w:snapToGrid/>
              <w:spacing w:line="360" w:lineRule="exact"/>
              <w:rPr>
                <w:b w:val="0"/>
                <w:bCs/>
              </w:rPr>
            </w:pPr>
            <w:r>
              <w:rPr>
                <w:rFonts w:hint="eastAsia"/>
                <w:b w:val="0"/>
                <w:bCs/>
              </w:rPr>
              <w:t>运维事件处理流程培训</w:t>
            </w:r>
            <w:bookmarkStart w:id="157" w:name="_Toc479625427"/>
            <w:bookmarkEnd w:id="157"/>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73" w:type="dxa"/>
            <w:vAlign w:val="center"/>
          </w:tcPr>
          <w:p>
            <w:pPr>
              <w:pStyle w:val="1748"/>
              <w:snapToGrid/>
              <w:spacing w:line="360" w:lineRule="exact"/>
              <w:jc w:val="center"/>
              <w:rPr>
                <w:rFonts w:ascii="宋体" w:hAnsi="宋体"/>
                <w:b w:val="0"/>
                <w:bCs/>
              </w:rPr>
            </w:pPr>
            <w:bookmarkStart w:id="158" w:name="_Toc479625429"/>
            <w:bookmarkEnd w:id="158"/>
            <w:r>
              <w:rPr>
                <w:rFonts w:hint="eastAsia" w:ascii="宋体" w:hAnsi="宋体"/>
                <w:b w:val="0"/>
                <w:bCs/>
              </w:rPr>
              <w:t>3</w:t>
            </w:r>
          </w:p>
        </w:tc>
        <w:tc>
          <w:tcPr>
            <w:tcW w:w="7968" w:type="dxa"/>
            <w:vAlign w:val="center"/>
          </w:tcPr>
          <w:p>
            <w:pPr>
              <w:pStyle w:val="1748"/>
              <w:snapToGrid/>
              <w:spacing w:line="360" w:lineRule="exact"/>
              <w:rPr>
                <w:b w:val="0"/>
                <w:bCs/>
              </w:rPr>
            </w:pPr>
            <w:r>
              <w:rPr>
                <w:rFonts w:hint="eastAsia"/>
                <w:b w:val="0"/>
                <w:bCs/>
              </w:rPr>
              <w:t>基础设备应急处理操作培训</w:t>
            </w:r>
            <w:bookmarkStart w:id="159" w:name="_Toc479625431"/>
            <w:bookmarkEnd w:id="159"/>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73" w:type="dxa"/>
            <w:vAlign w:val="center"/>
          </w:tcPr>
          <w:p>
            <w:pPr>
              <w:pStyle w:val="1748"/>
              <w:snapToGrid/>
              <w:spacing w:line="360" w:lineRule="exact"/>
              <w:jc w:val="center"/>
              <w:rPr>
                <w:rFonts w:ascii="宋体" w:hAnsi="宋体"/>
                <w:b w:val="0"/>
                <w:bCs/>
              </w:rPr>
            </w:pPr>
            <w:bookmarkStart w:id="160" w:name="_Toc479625433"/>
            <w:bookmarkEnd w:id="160"/>
            <w:r>
              <w:rPr>
                <w:rFonts w:hint="eastAsia" w:ascii="宋体" w:hAnsi="宋体"/>
                <w:b w:val="0"/>
                <w:bCs/>
              </w:rPr>
              <w:t>4</w:t>
            </w:r>
          </w:p>
        </w:tc>
        <w:tc>
          <w:tcPr>
            <w:tcW w:w="7968" w:type="dxa"/>
            <w:vAlign w:val="center"/>
          </w:tcPr>
          <w:p>
            <w:pPr>
              <w:pStyle w:val="1748"/>
              <w:snapToGrid/>
              <w:spacing w:line="360" w:lineRule="exact"/>
              <w:rPr>
                <w:b w:val="0"/>
                <w:bCs/>
              </w:rPr>
            </w:pPr>
            <w:r>
              <w:rPr>
                <w:rFonts w:hint="eastAsia"/>
                <w:b w:val="0"/>
                <w:bCs/>
              </w:rPr>
              <w:t>基本维护知识</w:t>
            </w:r>
            <w:bookmarkStart w:id="161" w:name="_Toc479625435"/>
            <w:bookmarkEnd w:id="161"/>
            <w:r>
              <w:rPr>
                <w:rFonts w:hint="eastAsia"/>
                <w:b w:val="0"/>
                <w:bCs/>
              </w:rPr>
              <w:t>培训</w:t>
            </w:r>
          </w:p>
        </w:tc>
      </w:tr>
    </w:tbl>
    <w:p>
      <w:pPr>
        <w:pStyle w:val="5"/>
        <w:numPr>
          <w:ilvl w:val="2"/>
          <w:numId w:val="72"/>
        </w:numPr>
      </w:pPr>
      <w:bookmarkStart w:id="162" w:name="_Toc15457"/>
      <w:r>
        <w:rPr>
          <w:rFonts w:hint="eastAsia"/>
        </w:rPr>
        <w:t>培训人员、时间和地点</w:t>
      </w:r>
      <w:bookmarkEnd w:id="162"/>
    </w:p>
    <w:p>
      <w:pPr>
        <w:ind w:firstLine="480" w:firstLineChars="200"/>
        <w:rPr>
          <w:rFonts w:hAnsi="宋体" w:cs="Arial"/>
        </w:rPr>
      </w:pPr>
      <w:r>
        <w:rPr>
          <w:rFonts w:hint="eastAsia" w:hAnsi="宋体" w:cs="Arial"/>
        </w:rPr>
        <w:t>为用户提供技术培训，参加培训人员为福建省经济信息中心相关处室的管理人员和项目运维服务人员等，人数不限。</w:t>
      </w:r>
    </w:p>
    <w:p>
      <w:pPr>
        <w:ind w:firstLine="480" w:firstLineChars="200"/>
        <w:rPr>
          <w:rFonts w:hAnsi="宋体" w:cs="Arial"/>
        </w:rPr>
      </w:pPr>
      <w:r>
        <w:rPr>
          <w:rFonts w:hint="eastAsia" w:hAnsi="宋体" w:cs="Arial"/>
        </w:rPr>
        <w:t>根据参加培训的人数与用户协商适合大规模人员授课的培训场地及培训时间，经用户方认可后再确定培训场所及具体培训时间。</w:t>
      </w:r>
    </w:p>
    <w:p>
      <w:pPr>
        <w:pStyle w:val="5"/>
        <w:numPr>
          <w:ilvl w:val="2"/>
          <w:numId w:val="72"/>
        </w:numPr>
      </w:pPr>
      <w:r>
        <w:rPr>
          <w:rFonts w:hint="eastAsia"/>
        </w:rPr>
        <w:tab/>
      </w:r>
      <w:bookmarkStart w:id="163" w:name="_Toc24611"/>
      <w:r>
        <w:rPr>
          <w:rFonts w:hint="eastAsia"/>
        </w:rPr>
        <w:t>培训讲师</w:t>
      </w:r>
      <w:bookmarkEnd w:id="163"/>
    </w:p>
    <w:p>
      <w:pPr>
        <w:ind w:firstLine="480" w:firstLineChars="200"/>
        <w:rPr>
          <w:rFonts w:hAnsi="宋体" w:cs="Arial"/>
        </w:rPr>
      </w:pPr>
      <w:r>
        <w:rPr>
          <w:rFonts w:hint="eastAsia" w:hAnsi="宋体" w:cs="Arial"/>
        </w:rPr>
        <w:t>对于本次培训，参与授课的老师都是业内资深运维从业人员并具有三年教学经验，且每位讲师都将配备一名辅助讲师，使最终用户的相关人员在培训后能够独立地对云计算中心基础设施进行管理、维护，而不需原厂的技术人员在场指导。</w:t>
      </w:r>
    </w:p>
    <w:p>
      <w:pPr>
        <w:pStyle w:val="5"/>
        <w:numPr>
          <w:ilvl w:val="2"/>
          <w:numId w:val="72"/>
        </w:numPr>
      </w:pPr>
      <w:r>
        <w:rPr>
          <w:rFonts w:hint="eastAsia"/>
        </w:rPr>
        <w:tab/>
      </w:r>
      <w:bookmarkStart w:id="164" w:name="_Toc25454"/>
      <w:r>
        <w:rPr>
          <w:rFonts w:hint="eastAsia"/>
        </w:rPr>
        <w:t>培训课程</w:t>
      </w:r>
      <w:bookmarkEnd w:id="164"/>
    </w:p>
    <w:p>
      <w:pPr>
        <w:ind w:firstLine="480" w:firstLineChars="200"/>
        <w:rPr>
          <w:rFonts w:hAnsi="宋体" w:cs="Arial"/>
        </w:rPr>
      </w:pPr>
      <w:r>
        <w:rPr>
          <w:rFonts w:hint="eastAsia" w:hAnsi="宋体" w:cs="Arial"/>
        </w:rPr>
        <w:t>运维团队培训包括但不限于以下课程，甲方单位管理人员选择性参与或从其中选择重要课程组织专题培训。</w:t>
      </w:r>
    </w:p>
    <w:p>
      <w:pPr>
        <w:pStyle w:val="6"/>
        <w:numPr>
          <w:ilvl w:val="3"/>
          <w:numId w:val="72"/>
        </w:numPr>
        <w:rPr>
          <w:color w:val="auto"/>
        </w:rPr>
      </w:pPr>
      <w:r>
        <w:rPr>
          <w:rFonts w:hint="eastAsia"/>
          <w:color w:val="auto"/>
        </w:rPr>
        <w:t>运维体系与架构培训</w:t>
      </w:r>
    </w:p>
    <w:p>
      <w:pPr>
        <w:pStyle w:val="135"/>
        <w:numPr>
          <w:ilvl w:val="0"/>
          <w:numId w:val="141"/>
        </w:numPr>
        <w:ind w:firstLine="480"/>
        <w:rPr>
          <w:rFonts w:hAnsi="宋体" w:cs="Arial"/>
        </w:rPr>
      </w:pPr>
      <w:r>
        <w:rPr>
          <w:rFonts w:hint="eastAsia" w:hAnsi="宋体" w:cs="Arial"/>
        </w:rPr>
        <w:t>数据中心基础设施主要架构</w:t>
      </w:r>
    </w:p>
    <w:p>
      <w:pPr>
        <w:pStyle w:val="135"/>
        <w:numPr>
          <w:ilvl w:val="0"/>
          <w:numId w:val="141"/>
        </w:numPr>
        <w:ind w:firstLine="480"/>
        <w:rPr>
          <w:rFonts w:hAnsi="宋体" w:cs="Arial"/>
        </w:rPr>
      </w:pPr>
      <w:r>
        <w:rPr>
          <w:rFonts w:hint="eastAsia" w:hAnsi="宋体" w:cs="Arial"/>
        </w:rPr>
        <w:t>如何看待数据中心运维</w:t>
      </w:r>
    </w:p>
    <w:p>
      <w:pPr>
        <w:pStyle w:val="135"/>
        <w:numPr>
          <w:ilvl w:val="0"/>
          <w:numId w:val="141"/>
        </w:numPr>
        <w:ind w:firstLine="480"/>
        <w:rPr>
          <w:rFonts w:hAnsi="宋体" w:cs="Arial"/>
        </w:rPr>
      </w:pPr>
      <w:r>
        <w:rPr>
          <w:rFonts w:hint="eastAsia" w:hAnsi="宋体" w:cs="Arial"/>
        </w:rPr>
        <w:t>数据中心运维所面临的一些关键问题</w:t>
      </w:r>
    </w:p>
    <w:p>
      <w:pPr>
        <w:pStyle w:val="135"/>
        <w:numPr>
          <w:ilvl w:val="0"/>
          <w:numId w:val="141"/>
        </w:numPr>
        <w:ind w:firstLine="480"/>
        <w:rPr>
          <w:rFonts w:hAnsi="宋体" w:cs="Arial"/>
        </w:rPr>
      </w:pPr>
      <w:r>
        <w:rPr>
          <w:rFonts w:hint="eastAsia" w:hAnsi="宋体" w:cs="Arial"/>
        </w:rPr>
        <w:t>数据中心运维的主要内容</w:t>
      </w:r>
    </w:p>
    <w:p>
      <w:pPr>
        <w:ind w:firstLine="480" w:firstLineChars="200"/>
        <w:rPr>
          <w:rFonts w:hAnsi="宋体" w:cs="Arial"/>
        </w:rPr>
      </w:pPr>
      <w:r>
        <w:rPr>
          <w:rFonts w:hint="eastAsia" w:hAnsi="宋体" w:cs="Arial"/>
        </w:rPr>
        <w:t>（1）数据中心运维的主要目标</w:t>
      </w:r>
    </w:p>
    <w:p>
      <w:pPr>
        <w:ind w:firstLine="480" w:firstLineChars="200"/>
        <w:rPr>
          <w:rFonts w:hAnsi="宋体" w:cs="Arial"/>
        </w:rPr>
      </w:pPr>
      <w:r>
        <w:rPr>
          <w:rFonts w:hint="eastAsia" w:hAnsi="宋体" w:cs="Arial"/>
        </w:rPr>
        <w:t>（2）数据中心运维的策略</w:t>
      </w:r>
    </w:p>
    <w:p>
      <w:pPr>
        <w:ind w:firstLine="480" w:firstLineChars="200"/>
        <w:rPr>
          <w:rFonts w:hAnsi="宋体" w:cs="Arial"/>
        </w:rPr>
      </w:pPr>
      <w:r>
        <w:rPr>
          <w:rFonts w:hint="eastAsia" w:hAnsi="宋体" w:cs="Arial"/>
        </w:rPr>
        <w:t>（3）数据中心运维的主要内容</w:t>
      </w:r>
    </w:p>
    <w:p>
      <w:pPr>
        <w:pStyle w:val="135"/>
        <w:numPr>
          <w:ilvl w:val="0"/>
          <w:numId w:val="141"/>
        </w:numPr>
        <w:ind w:firstLine="480"/>
        <w:rPr>
          <w:rFonts w:hAnsi="宋体" w:cs="Arial"/>
        </w:rPr>
      </w:pPr>
      <w:r>
        <w:rPr>
          <w:rFonts w:hint="eastAsia" w:hAnsi="宋体" w:cs="Arial"/>
        </w:rPr>
        <w:t>例行操作</w:t>
      </w:r>
    </w:p>
    <w:p>
      <w:pPr>
        <w:ind w:firstLine="480" w:firstLineChars="200"/>
        <w:rPr>
          <w:rFonts w:hAnsi="宋体" w:cs="Arial"/>
        </w:rPr>
      </w:pPr>
      <w:r>
        <w:rPr>
          <w:rFonts w:hint="eastAsia" w:hAnsi="宋体" w:cs="Arial"/>
        </w:rPr>
        <w:t>（1）监控</w:t>
      </w:r>
    </w:p>
    <w:p>
      <w:pPr>
        <w:pStyle w:val="135"/>
        <w:numPr>
          <w:ilvl w:val="2"/>
          <w:numId w:val="142"/>
        </w:numPr>
        <w:ind w:left="960" w:leftChars="250" w:hanging="360" w:hangingChars="150"/>
        <w:rPr>
          <w:rFonts w:hAnsi="宋体" w:cs="Arial"/>
        </w:rPr>
      </w:pPr>
      <w:r>
        <w:rPr>
          <w:rFonts w:hint="eastAsia" w:hAnsi="宋体" w:cs="Arial"/>
        </w:rPr>
        <w:t>预防性检查</w:t>
      </w:r>
    </w:p>
    <w:p>
      <w:pPr>
        <w:pStyle w:val="135"/>
        <w:numPr>
          <w:ilvl w:val="2"/>
          <w:numId w:val="142"/>
        </w:numPr>
        <w:ind w:left="960" w:leftChars="250" w:hanging="360" w:hangingChars="150"/>
        <w:rPr>
          <w:rFonts w:hAnsi="宋体" w:cs="Arial"/>
        </w:rPr>
      </w:pPr>
      <w:r>
        <w:rPr>
          <w:rFonts w:hint="eastAsia" w:hAnsi="宋体" w:cs="Arial"/>
        </w:rPr>
        <w:t>常规作业</w:t>
      </w:r>
    </w:p>
    <w:p>
      <w:pPr>
        <w:ind w:firstLine="480" w:firstLineChars="200"/>
        <w:rPr>
          <w:rFonts w:hAnsi="宋体" w:cs="Arial"/>
        </w:rPr>
      </w:pPr>
      <w:r>
        <w:rPr>
          <w:rFonts w:hint="eastAsia" w:hAnsi="宋体" w:cs="Arial"/>
        </w:rPr>
        <w:t>（2）响应支持</w:t>
      </w:r>
    </w:p>
    <w:p>
      <w:pPr>
        <w:pStyle w:val="135"/>
        <w:numPr>
          <w:ilvl w:val="2"/>
          <w:numId w:val="142"/>
        </w:numPr>
        <w:ind w:left="960" w:leftChars="250" w:hanging="360" w:hangingChars="150"/>
        <w:rPr>
          <w:rFonts w:hAnsi="宋体" w:cs="Arial"/>
        </w:rPr>
      </w:pPr>
      <w:r>
        <w:rPr>
          <w:rFonts w:hint="eastAsia" w:hAnsi="宋体" w:cs="Arial"/>
        </w:rPr>
        <w:t>故障及应急处理</w:t>
      </w:r>
    </w:p>
    <w:p>
      <w:pPr>
        <w:ind w:firstLine="480" w:firstLineChars="200"/>
        <w:rPr>
          <w:rFonts w:hAnsi="宋体" w:cs="Arial"/>
        </w:rPr>
      </w:pPr>
      <w:r>
        <w:rPr>
          <w:rFonts w:hint="eastAsia" w:hAnsi="宋体" w:cs="Arial"/>
        </w:rPr>
        <w:t>（3）优化改善</w:t>
      </w:r>
    </w:p>
    <w:p>
      <w:pPr>
        <w:pStyle w:val="135"/>
        <w:numPr>
          <w:ilvl w:val="2"/>
          <w:numId w:val="142"/>
        </w:numPr>
        <w:ind w:left="960" w:leftChars="250" w:hanging="360" w:hangingChars="150"/>
        <w:rPr>
          <w:rFonts w:hAnsi="宋体" w:cs="Arial"/>
        </w:rPr>
      </w:pPr>
      <w:r>
        <w:rPr>
          <w:rFonts w:hint="eastAsia" w:hAnsi="宋体" w:cs="Arial"/>
        </w:rPr>
        <w:t>适应性改进</w:t>
      </w:r>
    </w:p>
    <w:p>
      <w:pPr>
        <w:pStyle w:val="135"/>
        <w:numPr>
          <w:ilvl w:val="2"/>
          <w:numId w:val="142"/>
        </w:numPr>
        <w:ind w:left="960" w:leftChars="250" w:hanging="360" w:hangingChars="150"/>
        <w:rPr>
          <w:rFonts w:hAnsi="宋体" w:cs="Arial"/>
        </w:rPr>
      </w:pPr>
      <w:r>
        <w:rPr>
          <w:rFonts w:hint="eastAsia" w:hAnsi="宋体" w:cs="Arial"/>
        </w:rPr>
        <w:t>增强性改进</w:t>
      </w:r>
    </w:p>
    <w:p>
      <w:pPr>
        <w:pStyle w:val="135"/>
        <w:numPr>
          <w:ilvl w:val="2"/>
          <w:numId w:val="142"/>
        </w:numPr>
        <w:ind w:left="960" w:leftChars="250" w:hanging="360" w:hangingChars="150"/>
        <w:rPr>
          <w:rFonts w:hAnsi="宋体" w:cs="Arial"/>
        </w:rPr>
      </w:pPr>
      <w:r>
        <w:rPr>
          <w:rFonts w:hint="eastAsia" w:hAnsi="宋体" w:cs="Arial"/>
        </w:rPr>
        <w:t>预防性改进</w:t>
      </w:r>
    </w:p>
    <w:p>
      <w:pPr>
        <w:pStyle w:val="135"/>
        <w:numPr>
          <w:ilvl w:val="0"/>
          <w:numId w:val="141"/>
        </w:numPr>
        <w:ind w:firstLine="480"/>
        <w:rPr>
          <w:rFonts w:hAnsi="宋体" w:cs="Arial"/>
        </w:rPr>
      </w:pPr>
      <w:r>
        <w:rPr>
          <w:rFonts w:hint="eastAsia" w:hAnsi="宋体" w:cs="Arial"/>
        </w:rPr>
        <w:t>咨询评估</w:t>
      </w:r>
    </w:p>
    <w:p>
      <w:pPr>
        <w:pStyle w:val="135"/>
        <w:numPr>
          <w:ilvl w:val="0"/>
          <w:numId w:val="141"/>
        </w:numPr>
        <w:ind w:firstLine="480"/>
        <w:rPr>
          <w:rFonts w:hAnsi="宋体" w:cs="Arial"/>
        </w:rPr>
      </w:pPr>
      <w:r>
        <w:rPr>
          <w:rFonts w:hint="eastAsia" w:hAnsi="宋体" w:cs="Arial"/>
        </w:rPr>
        <w:t>数据中心运维的相关标准</w:t>
      </w:r>
    </w:p>
    <w:p>
      <w:pPr>
        <w:ind w:firstLine="480" w:firstLineChars="200"/>
        <w:rPr>
          <w:rFonts w:hAnsi="宋体" w:cs="Arial"/>
        </w:rPr>
      </w:pPr>
      <w:r>
        <w:rPr>
          <w:rFonts w:hint="eastAsia" w:hAnsi="宋体" w:cs="Arial"/>
        </w:rPr>
        <w:t>（1）</w:t>
      </w:r>
      <w:r>
        <w:rPr>
          <w:rFonts w:hAnsi="宋体" w:cs="Arial"/>
        </w:rPr>
        <w:t>IS02000</w:t>
      </w:r>
    </w:p>
    <w:p>
      <w:pPr>
        <w:ind w:firstLine="480" w:firstLineChars="200"/>
        <w:rPr>
          <w:rFonts w:hAnsi="宋体" w:cs="Arial"/>
        </w:rPr>
      </w:pPr>
      <w:r>
        <w:rPr>
          <w:rFonts w:hint="eastAsia" w:hAnsi="宋体" w:cs="Arial"/>
        </w:rPr>
        <w:t>（2）</w:t>
      </w:r>
      <w:r>
        <w:rPr>
          <w:rFonts w:hAnsi="宋体" w:cs="Arial"/>
        </w:rPr>
        <w:t>ITIL</w:t>
      </w:r>
    </w:p>
    <w:p>
      <w:pPr>
        <w:ind w:firstLine="480" w:firstLineChars="200"/>
        <w:rPr>
          <w:rFonts w:hAnsi="宋体" w:cs="Arial"/>
        </w:rPr>
      </w:pPr>
      <w:r>
        <w:rPr>
          <w:rFonts w:hint="eastAsia" w:hAnsi="宋体" w:cs="Arial"/>
        </w:rPr>
        <w:t>（3）</w:t>
      </w:r>
      <w:r>
        <w:rPr>
          <w:rFonts w:hAnsi="宋体" w:cs="Arial"/>
        </w:rPr>
        <w:t>ISO27001</w:t>
      </w:r>
    </w:p>
    <w:p>
      <w:pPr>
        <w:ind w:firstLine="480" w:firstLineChars="200"/>
        <w:rPr>
          <w:rFonts w:hAnsi="宋体" w:cs="Arial"/>
        </w:rPr>
      </w:pPr>
      <w:r>
        <w:rPr>
          <w:rFonts w:hint="eastAsia" w:hAnsi="宋体" w:cs="Arial"/>
        </w:rPr>
        <w:t>（4）</w:t>
      </w:r>
      <w:r>
        <w:rPr>
          <w:rFonts w:hAnsi="宋体" w:cs="Arial"/>
        </w:rPr>
        <w:t>UPTIME M&amp;O</w:t>
      </w:r>
    </w:p>
    <w:p>
      <w:pPr>
        <w:pStyle w:val="135"/>
        <w:numPr>
          <w:ilvl w:val="0"/>
          <w:numId w:val="141"/>
        </w:numPr>
        <w:ind w:firstLine="480"/>
        <w:rPr>
          <w:rFonts w:hAnsi="宋体" w:cs="Arial"/>
        </w:rPr>
      </w:pPr>
      <w:r>
        <w:rPr>
          <w:rFonts w:hint="eastAsia" w:hAnsi="宋体" w:cs="Arial"/>
        </w:rPr>
        <w:t>数据中心运维的流程、制度、规范</w:t>
      </w:r>
    </w:p>
    <w:p>
      <w:pPr>
        <w:ind w:firstLine="480" w:firstLineChars="200"/>
        <w:rPr>
          <w:rFonts w:hAnsi="宋体" w:cs="Arial"/>
        </w:rPr>
      </w:pPr>
      <w:r>
        <w:rPr>
          <w:rFonts w:hint="eastAsia" w:hAnsi="宋体" w:cs="Arial"/>
        </w:rPr>
        <w:t>（1）通用管理制度</w:t>
      </w:r>
    </w:p>
    <w:p>
      <w:pPr>
        <w:ind w:firstLine="480" w:firstLineChars="200"/>
        <w:rPr>
          <w:rFonts w:hAnsi="宋体" w:cs="Arial"/>
        </w:rPr>
      </w:pPr>
      <w:r>
        <w:rPr>
          <w:rFonts w:hint="eastAsia" w:hAnsi="宋体" w:cs="Arial"/>
        </w:rPr>
        <w:t>（2）流程</w:t>
      </w:r>
    </w:p>
    <w:p>
      <w:pPr>
        <w:ind w:firstLine="480" w:firstLineChars="200"/>
        <w:rPr>
          <w:rFonts w:hAnsi="宋体" w:cs="Arial"/>
        </w:rPr>
      </w:pPr>
      <w:r>
        <w:rPr>
          <w:rFonts w:hint="eastAsia" w:hAnsi="宋体" w:cs="Arial"/>
        </w:rPr>
        <w:t>（3）规范</w:t>
      </w:r>
    </w:p>
    <w:p>
      <w:pPr>
        <w:ind w:firstLine="480" w:firstLineChars="200"/>
        <w:rPr>
          <w:rFonts w:hAnsi="宋体" w:cs="Arial"/>
        </w:rPr>
      </w:pPr>
      <w:r>
        <w:rPr>
          <w:rFonts w:hint="eastAsia" w:hAnsi="宋体" w:cs="Arial"/>
        </w:rPr>
        <w:t>（4）操作指导书</w:t>
      </w:r>
    </w:p>
    <w:p>
      <w:pPr>
        <w:pStyle w:val="6"/>
        <w:numPr>
          <w:ilvl w:val="3"/>
          <w:numId w:val="72"/>
        </w:numPr>
        <w:rPr>
          <w:color w:val="auto"/>
        </w:rPr>
      </w:pPr>
      <w:r>
        <w:rPr>
          <w:rFonts w:hint="eastAsia"/>
          <w:color w:val="auto"/>
        </w:rPr>
        <w:t>数据中心各系统运维管理培训</w:t>
      </w:r>
    </w:p>
    <w:p>
      <w:pPr>
        <w:pStyle w:val="135"/>
        <w:numPr>
          <w:ilvl w:val="0"/>
          <w:numId w:val="143"/>
        </w:numPr>
        <w:ind w:firstLine="480"/>
        <w:rPr>
          <w:rFonts w:hAnsi="宋体" w:cs="Arial"/>
        </w:rPr>
      </w:pPr>
      <w:r>
        <w:rPr>
          <w:rFonts w:hint="eastAsia" w:hAnsi="宋体" w:cs="Arial"/>
        </w:rPr>
        <w:t>高压供配电系统</w:t>
      </w:r>
    </w:p>
    <w:p>
      <w:pPr>
        <w:ind w:firstLine="480" w:firstLineChars="200"/>
        <w:rPr>
          <w:rFonts w:hAnsi="宋体" w:cs="Arial"/>
        </w:rPr>
      </w:pPr>
      <w:r>
        <w:rPr>
          <w:rFonts w:hint="eastAsia" w:hAnsi="宋体" w:cs="Arial"/>
        </w:rPr>
        <w:t>（1）10kV变配电系统</w:t>
      </w:r>
    </w:p>
    <w:p>
      <w:pPr>
        <w:ind w:firstLine="480" w:firstLineChars="200"/>
        <w:rPr>
          <w:rFonts w:hAnsi="宋体" w:cs="Arial"/>
        </w:rPr>
      </w:pPr>
      <w:r>
        <w:rPr>
          <w:rFonts w:hint="eastAsia" w:hAnsi="宋体" w:cs="Arial"/>
        </w:rPr>
        <w:t>（2）供电系统的方式选择</w:t>
      </w:r>
    </w:p>
    <w:p>
      <w:pPr>
        <w:ind w:firstLine="480" w:firstLineChars="200"/>
        <w:rPr>
          <w:rFonts w:hAnsi="宋体" w:cs="Arial"/>
        </w:rPr>
      </w:pPr>
      <w:r>
        <w:rPr>
          <w:rFonts w:hint="eastAsia" w:hAnsi="宋体" w:cs="Arial"/>
        </w:rPr>
        <w:t>（3）高压系统的操作</w:t>
      </w:r>
    </w:p>
    <w:p>
      <w:pPr>
        <w:ind w:firstLine="480" w:firstLineChars="200"/>
        <w:rPr>
          <w:rFonts w:hAnsi="宋体" w:cs="Arial"/>
        </w:rPr>
      </w:pPr>
      <w:r>
        <w:rPr>
          <w:rFonts w:hint="eastAsia" w:hAnsi="宋体" w:cs="Arial"/>
        </w:rPr>
        <w:t>（4）高压变配电设备的管理</w:t>
      </w:r>
    </w:p>
    <w:p>
      <w:pPr>
        <w:ind w:firstLine="480" w:firstLineChars="200"/>
        <w:rPr>
          <w:rFonts w:hAnsi="宋体" w:cs="Arial"/>
        </w:rPr>
      </w:pPr>
      <w:r>
        <w:rPr>
          <w:rFonts w:hint="eastAsia" w:hAnsi="宋体" w:cs="Arial"/>
        </w:rPr>
        <w:t>（5）高压变配电设备的维护</w:t>
      </w:r>
    </w:p>
    <w:p>
      <w:pPr>
        <w:pStyle w:val="135"/>
        <w:numPr>
          <w:ilvl w:val="0"/>
          <w:numId w:val="143"/>
        </w:numPr>
        <w:ind w:firstLine="480"/>
        <w:rPr>
          <w:rFonts w:hAnsi="宋体" w:cs="Arial"/>
        </w:rPr>
      </w:pPr>
      <w:r>
        <w:rPr>
          <w:rFonts w:hint="eastAsia" w:hAnsi="宋体" w:cs="Arial"/>
        </w:rPr>
        <w:t>低压供电系统</w:t>
      </w:r>
    </w:p>
    <w:p>
      <w:pPr>
        <w:ind w:firstLine="480" w:firstLineChars="200"/>
        <w:rPr>
          <w:rFonts w:hAnsi="宋体" w:cs="Arial"/>
        </w:rPr>
      </w:pPr>
      <w:r>
        <w:rPr>
          <w:rFonts w:hint="eastAsia" w:hAnsi="宋体" w:cs="Arial"/>
        </w:rPr>
        <w:t>（1）根据投资规模及负载性质配备油机</w:t>
      </w:r>
    </w:p>
    <w:p>
      <w:pPr>
        <w:ind w:firstLine="480" w:firstLineChars="200"/>
        <w:rPr>
          <w:rFonts w:hAnsi="宋体" w:cs="Arial"/>
        </w:rPr>
      </w:pPr>
      <w:r>
        <w:rPr>
          <w:rFonts w:hint="eastAsia" w:hAnsi="宋体" w:cs="Arial"/>
        </w:rPr>
        <w:t>（2）市电与油机互备方式</w:t>
      </w:r>
    </w:p>
    <w:p>
      <w:pPr>
        <w:ind w:firstLine="480" w:firstLineChars="200"/>
        <w:rPr>
          <w:rFonts w:hAnsi="宋体" w:cs="Arial"/>
        </w:rPr>
      </w:pPr>
      <w:r>
        <w:rPr>
          <w:rFonts w:hint="eastAsia" w:hAnsi="宋体" w:cs="Arial"/>
        </w:rPr>
        <w:t>（3）柴油发电机组</w:t>
      </w:r>
    </w:p>
    <w:p>
      <w:pPr>
        <w:ind w:firstLine="480" w:firstLineChars="200"/>
        <w:rPr>
          <w:rFonts w:hAnsi="宋体" w:cs="Arial"/>
        </w:rPr>
      </w:pPr>
      <w:r>
        <w:rPr>
          <w:rFonts w:hint="eastAsia" w:hAnsi="宋体" w:cs="Arial"/>
        </w:rPr>
        <w:t>（</w:t>
      </w:r>
      <w:r>
        <w:rPr>
          <w:rFonts w:hAnsi="宋体" w:cs="Arial"/>
        </w:rPr>
        <w:t>4</w:t>
      </w:r>
      <w:r>
        <w:rPr>
          <w:rFonts w:hint="eastAsia" w:hAnsi="宋体" w:cs="Arial"/>
        </w:rPr>
        <w:t>）建议与案例</w:t>
      </w:r>
    </w:p>
    <w:p>
      <w:pPr>
        <w:ind w:firstLine="480" w:firstLineChars="200"/>
        <w:rPr>
          <w:rFonts w:hAnsi="宋体" w:cs="Arial"/>
        </w:rPr>
      </w:pPr>
      <w:r>
        <w:rPr>
          <w:rFonts w:hint="eastAsia" w:hAnsi="宋体" w:cs="Arial"/>
        </w:rPr>
        <w:t>（5）低压配电设备的管理</w:t>
      </w:r>
    </w:p>
    <w:p>
      <w:pPr>
        <w:ind w:firstLine="480" w:firstLineChars="200"/>
        <w:rPr>
          <w:rFonts w:hAnsi="宋体" w:cs="Arial"/>
        </w:rPr>
      </w:pPr>
      <w:r>
        <w:rPr>
          <w:rFonts w:hint="eastAsia" w:hAnsi="宋体" w:cs="Arial"/>
        </w:rPr>
        <w:t>（6）低压配电设备的维护</w:t>
      </w:r>
    </w:p>
    <w:p>
      <w:pPr>
        <w:pStyle w:val="135"/>
        <w:numPr>
          <w:ilvl w:val="0"/>
          <w:numId w:val="143"/>
        </w:numPr>
        <w:ind w:firstLine="480"/>
        <w:rPr>
          <w:rFonts w:hAnsi="宋体" w:cs="Arial"/>
        </w:rPr>
      </w:pPr>
      <w:r>
        <w:rPr>
          <w:rFonts w:hint="eastAsia" w:hAnsi="宋体" w:cs="Arial"/>
        </w:rPr>
        <w:t>接地系统</w:t>
      </w:r>
    </w:p>
    <w:p>
      <w:pPr>
        <w:pStyle w:val="135"/>
        <w:numPr>
          <w:ilvl w:val="0"/>
          <w:numId w:val="143"/>
        </w:numPr>
        <w:ind w:firstLine="480"/>
        <w:rPr>
          <w:rFonts w:hAnsi="宋体" w:cs="Arial"/>
        </w:rPr>
      </w:pPr>
      <w:r>
        <w:rPr>
          <w:rFonts w:hint="eastAsia" w:hAnsi="宋体" w:cs="Arial"/>
        </w:rPr>
        <w:t>UPS不间断电源供电系统</w:t>
      </w:r>
    </w:p>
    <w:p>
      <w:pPr>
        <w:pStyle w:val="135"/>
        <w:numPr>
          <w:ilvl w:val="1"/>
          <w:numId w:val="144"/>
        </w:numPr>
        <w:ind w:left="0" w:firstLine="480"/>
        <w:rPr>
          <w:rFonts w:hAnsi="宋体" w:cs="Arial"/>
        </w:rPr>
      </w:pPr>
      <w:r>
        <w:rPr>
          <w:rFonts w:hint="eastAsia" w:hAnsi="宋体" w:cs="Arial"/>
        </w:rPr>
        <w:t>UPS的作用</w:t>
      </w:r>
    </w:p>
    <w:p>
      <w:pPr>
        <w:pStyle w:val="135"/>
        <w:numPr>
          <w:ilvl w:val="1"/>
          <w:numId w:val="144"/>
        </w:numPr>
        <w:ind w:left="0" w:firstLine="480"/>
        <w:rPr>
          <w:rFonts w:hAnsi="宋体" w:cs="Arial"/>
        </w:rPr>
      </w:pPr>
      <w:r>
        <w:rPr>
          <w:rFonts w:hint="eastAsia" w:hAnsi="宋体" w:cs="Arial"/>
        </w:rPr>
        <w:t>UPS的基本组成和工作原理</w:t>
      </w:r>
    </w:p>
    <w:p>
      <w:pPr>
        <w:pStyle w:val="135"/>
        <w:numPr>
          <w:ilvl w:val="1"/>
          <w:numId w:val="144"/>
        </w:numPr>
        <w:ind w:left="0" w:firstLine="480"/>
        <w:rPr>
          <w:rFonts w:hAnsi="宋体" w:cs="Arial"/>
        </w:rPr>
      </w:pPr>
      <w:r>
        <w:rPr>
          <w:rFonts w:hint="eastAsia" w:hAnsi="宋体" w:cs="Arial"/>
        </w:rPr>
        <w:t>UPS的选型</w:t>
      </w:r>
    </w:p>
    <w:p>
      <w:pPr>
        <w:pStyle w:val="135"/>
        <w:numPr>
          <w:ilvl w:val="1"/>
          <w:numId w:val="144"/>
        </w:numPr>
        <w:ind w:left="0" w:firstLine="480"/>
        <w:rPr>
          <w:rFonts w:hAnsi="宋体" w:cs="Arial"/>
        </w:rPr>
      </w:pPr>
      <w:r>
        <w:rPr>
          <w:rFonts w:hint="eastAsia" w:hAnsi="宋体" w:cs="Arial"/>
        </w:rPr>
        <w:t>UPS冗余和容错方式的选择</w:t>
      </w:r>
    </w:p>
    <w:p>
      <w:pPr>
        <w:pStyle w:val="135"/>
        <w:numPr>
          <w:ilvl w:val="1"/>
          <w:numId w:val="144"/>
        </w:numPr>
        <w:ind w:left="0" w:firstLine="480"/>
        <w:rPr>
          <w:rFonts w:hAnsi="宋体" w:cs="Arial"/>
        </w:rPr>
      </w:pPr>
      <w:r>
        <w:rPr>
          <w:rFonts w:hint="eastAsia" w:hAnsi="宋体" w:cs="Arial"/>
        </w:rPr>
        <w:t>大型UPS对场地、环境的要求</w:t>
      </w:r>
    </w:p>
    <w:p>
      <w:pPr>
        <w:pStyle w:val="135"/>
        <w:numPr>
          <w:ilvl w:val="1"/>
          <w:numId w:val="144"/>
        </w:numPr>
        <w:ind w:left="0" w:firstLine="480"/>
        <w:rPr>
          <w:rFonts w:hAnsi="宋体" w:cs="Arial"/>
        </w:rPr>
      </w:pPr>
      <w:r>
        <w:rPr>
          <w:rFonts w:hint="eastAsia" w:hAnsi="宋体" w:cs="Arial"/>
        </w:rPr>
        <w:t>电缆的选择和接线</w:t>
      </w:r>
    </w:p>
    <w:p>
      <w:pPr>
        <w:pStyle w:val="135"/>
        <w:numPr>
          <w:ilvl w:val="1"/>
          <w:numId w:val="144"/>
        </w:numPr>
        <w:ind w:left="0" w:firstLine="480"/>
        <w:rPr>
          <w:rFonts w:hAnsi="宋体" w:cs="Arial"/>
        </w:rPr>
      </w:pPr>
      <w:r>
        <w:rPr>
          <w:rFonts w:hint="eastAsia" w:hAnsi="宋体" w:cs="Arial"/>
        </w:rPr>
        <w:t>大型 UPS 的测试</w:t>
      </w:r>
    </w:p>
    <w:p>
      <w:pPr>
        <w:pStyle w:val="135"/>
        <w:numPr>
          <w:ilvl w:val="1"/>
          <w:numId w:val="144"/>
        </w:numPr>
        <w:ind w:left="0" w:firstLine="480"/>
        <w:rPr>
          <w:rFonts w:hAnsi="宋体" w:cs="Arial"/>
        </w:rPr>
      </w:pPr>
      <w:r>
        <w:rPr>
          <w:rFonts w:hint="eastAsia" w:hAnsi="宋体" w:cs="Arial"/>
        </w:rPr>
        <w:t>UPS设备的管理</w:t>
      </w:r>
    </w:p>
    <w:p>
      <w:pPr>
        <w:pStyle w:val="135"/>
        <w:numPr>
          <w:ilvl w:val="1"/>
          <w:numId w:val="144"/>
        </w:numPr>
        <w:ind w:left="0" w:firstLine="480"/>
        <w:rPr>
          <w:rFonts w:hAnsi="宋体" w:cs="Arial"/>
        </w:rPr>
      </w:pPr>
      <w:r>
        <w:rPr>
          <w:rFonts w:hint="eastAsia" w:hAnsi="宋体" w:cs="Arial"/>
        </w:rPr>
        <w:t>UPS设备的维护与关键值校正</w:t>
      </w:r>
    </w:p>
    <w:p>
      <w:pPr>
        <w:pStyle w:val="135"/>
        <w:numPr>
          <w:ilvl w:val="0"/>
          <w:numId w:val="143"/>
        </w:numPr>
        <w:ind w:firstLine="480"/>
        <w:rPr>
          <w:rFonts w:hAnsi="宋体" w:cs="Arial"/>
        </w:rPr>
      </w:pPr>
      <w:r>
        <w:rPr>
          <w:rFonts w:hint="eastAsia" w:hAnsi="宋体" w:cs="Arial"/>
        </w:rPr>
        <w:t>蓄电池组</w:t>
      </w:r>
    </w:p>
    <w:p>
      <w:pPr>
        <w:pStyle w:val="135"/>
        <w:numPr>
          <w:ilvl w:val="1"/>
          <w:numId w:val="145"/>
        </w:numPr>
        <w:ind w:left="0" w:firstLine="480"/>
        <w:rPr>
          <w:rFonts w:hAnsi="宋体" w:cs="Arial"/>
        </w:rPr>
      </w:pPr>
      <w:r>
        <w:rPr>
          <w:rFonts w:hint="eastAsia" w:hAnsi="宋体" w:cs="Arial"/>
        </w:rPr>
        <w:t>UPS 用蓄电池容量的选择</w:t>
      </w:r>
    </w:p>
    <w:p>
      <w:pPr>
        <w:pStyle w:val="135"/>
        <w:numPr>
          <w:ilvl w:val="1"/>
          <w:numId w:val="145"/>
        </w:numPr>
        <w:ind w:left="0" w:firstLine="480"/>
        <w:rPr>
          <w:rFonts w:hAnsi="宋体" w:cs="Arial"/>
        </w:rPr>
      </w:pPr>
      <w:r>
        <w:rPr>
          <w:rFonts w:hint="eastAsia" w:hAnsi="宋体" w:cs="Arial"/>
        </w:rPr>
        <w:t>蓄电池的温度及储藏特性</w:t>
      </w:r>
    </w:p>
    <w:p>
      <w:pPr>
        <w:pStyle w:val="135"/>
        <w:numPr>
          <w:ilvl w:val="1"/>
          <w:numId w:val="145"/>
        </w:numPr>
        <w:ind w:left="0" w:firstLine="480"/>
        <w:rPr>
          <w:rFonts w:hAnsi="宋体" w:cs="Arial"/>
        </w:rPr>
      </w:pPr>
      <w:r>
        <w:rPr>
          <w:rFonts w:hint="eastAsia" w:hAnsi="宋体" w:cs="Arial"/>
        </w:rPr>
        <w:t>UPS用蓄电池使用的注意事项</w:t>
      </w:r>
    </w:p>
    <w:p>
      <w:pPr>
        <w:pStyle w:val="135"/>
        <w:numPr>
          <w:ilvl w:val="1"/>
          <w:numId w:val="145"/>
        </w:numPr>
        <w:ind w:left="0" w:firstLine="480"/>
        <w:rPr>
          <w:rFonts w:hAnsi="宋体" w:cs="Arial"/>
        </w:rPr>
      </w:pPr>
      <w:r>
        <w:rPr>
          <w:rFonts w:hint="eastAsia" w:hAnsi="宋体" w:cs="Arial"/>
        </w:rPr>
        <w:t>免维护铅酸蓄电池常用测试仪表</w:t>
      </w:r>
    </w:p>
    <w:p>
      <w:pPr>
        <w:ind w:firstLine="480" w:firstLineChars="200"/>
        <w:rPr>
          <w:rFonts w:hAnsi="宋体" w:cs="Arial"/>
        </w:rPr>
      </w:pPr>
      <w:r>
        <w:rPr>
          <w:rFonts w:hint="eastAsia" w:hAnsi="宋体" w:cs="Arial"/>
        </w:rPr>
        <w:t>6、机房内配电系统</w:t>
      </w:r>
    </w:p>
    <w:p>
      <w:pPr>
        <w:pStyle w:val="135"/>
        <w:numPr>
          <w:ilvl w:val="1"/>
          <w:numId w:val="146"/>
        </w:numPr>
        <w:ind w:left="0" w:firstLine="480"/>
        <w:rPr>
          <w:rFonts w:hAnsi="宋体" w:cs="Arial"/>
        </w:rPr>
      </w:pPr>
      <w:r>
        <w:rPr>
          <w:rFonts w:hint="eastAsia" w:hAnsi="宋体" w:cs="Arial"/>
        </w:rPr>
        <w:t>照明及消防供电的配置</w:t>
      </w:r>
    </w:p>
    <w:p>
      <w:pPr>
        <w:pStyle w:val="135"/>
        <w:numPr>
          <w:ilvl w:val="1"/>
          <w:numId w:val="146"/>
        </w:numPr>
        <w:ind w:left="0" w:firstLine="480"/>
        <w:rPr>
          <w:rFonts w:hAnsi="宋体" w:cs="Arial"/>
        </w:rPr>
      </w:pPr>
      <w:r>
        <w:rPr>
          <w:rFonts w:hint="eastAsia" w:hAnsi="宋体" w:cs="Arial"/>
        </w:rPr>
        <w:t>负载计算经验公式</w:t>
      </w:r>
    </w:p>
    <w:p>
      <w:pPr>
        <w:pStyle w:val="135"/>
        <w:numPr>
          <w:ilvl w:val="1"/>
          <w:numId w:val="146"/>
        </w:numPr>
        <w:ind w:left="0" w:firstLine="480"/>
        <w:rPr>
          <w:rFonts w:hAnsi="宋体" w:cs="Arial"/>
        </w:rPr>
      </w:pPr>
      <w:r>
        <w:rPr>
          <w:rFonts w:hint="eastAsia" w:hAnsi="宋体" w:cs="Arial"/>
        </w:rPr>
        <w:t>列头柜选型及注意事项</w:t>
      </w:r>
    </w:p>
    <w:p>
      <w:pPr>
        <w:pStyle w:val="135"/>
        <w:numPr>
          <w:ilvl w:val="1"/>
          <w:numId w:val="146"/>
        </w:numPr>
        <w:ind w:left="0" w:firstLine="480"/>
        <w:rPr>
          <w:rFonts w:hAnsi="宋体" w:cs="Arial"/>
        </w:rPr>
      </w:pPr>
      <w:r>
        <w:rPr>
          <w:rFonts w:hint="eastAsia" w:hAnsi="宋体" w:cs="Arial"/>
        </w:rPr>
        <w:t>机房专用插座</w:t>
      </w:r>
    </w:p>
    <w:p>
      <w:pPr>
        <w:ind w:firstLine="480" w:firstLineChars="200"/>
        <w:rPr>
          <w:rFonts w:hAnsi="宋体" w:cs="Arial"/>
        </w:rPr>
      </w:pPr>
      <w:r>
        <w:rPr>
          <w:rFonts w:hint="eastAsia" w:hAnsi="宋体" w:cs="Arial"/>
        </w:rPr>
        <w:t>7、安全用电</w:t>
      </w:r>
    </w:p>
    <w:p>
      <w:pPr>
        <w:pStyle w:val="135"/>
        <w:numPr>
          <w:ilvl w:val="1"/>
          <w:numId w:val="147"/>
        </w:numPr>
        <w:ind w:left="0" w:firstLine="480"/>
        <w:rPr>
          <w:rFonts w:hAnsi="宋体" w:cs="Arial"/>
        </w:rPr>
      </w:pPr>
      <w:r>
        <w:rPr>
          <w:rFonts w:hint="eastAsia" w:hAnsi="宋体" w:cs="Arial"/>
        </w:rPr>
        <w:t>用电安全管理</w:t>
      </w:r>
    </w:p>
    <w:p>
      <w:pPr>
        <w:pStyle w:val="135"/>
        <w:numPr>
          <w:ilvl w:val="1"/>
          <w:numId w:val="147"/>
        </w:numPr>
        <w:ind w:left="0" w:firstLine="480"/>
        <w:rPr>
          <w:rFonts w:hAnsi="宋体" w:cs="Arial"/>
        </w:rPr>
      </w:pPr>
      <w:r>
        <w:rPr>
          <w:rFonts w:hint="eastAsia" w:hAnsi="宋体" w:cs="Arial"/>
        </w:rPr>
        <w:t>电力室应配备的仪表和工具</w:t>
      </w:r>
    </w:p>
    <w:p>
      <w:pPr>
        <w:pStyle w:val="135"/>
        <w:numPr>
          <w:ilvl w:val="1"/>
          <w:numId w:val="147"/>
        </w:numPr>
        <w:ind w:left="0" w:firstLine="480"/>
        <w:rPr>
          <w:rFonts w:hAnsi="宋体" w:cs="Arial"/>
        </w:rPr>
      </w:pPr>
      <w:r>
        <w:rPr>
          <w:rFonts w:hint="eastAsia" w:hAnsi="宋体" w:cs="Arial"/>
        </w:rPr>
        <w:t>节能提高PUE值</w:t>
      </w:r>
    </w:p>
    <w:p>
      <w:pPr>
        <w:ind w:firstLine="480" w:firstLineChars="200"/>
        <w:rPr>
          <w:rFonts w:hAnsi="宋体" w:cs="Arial"/>
        </w:rPr>
      </w:pPr>
      <w:r>
        <w:rPr>
          <w:rFonts w:hint="eastAsia" w:hAnsi="宋体" w:cs="Arial"/>
        </w:rPr>
        <w:t>8、机房空调及新风系统</w:t>
      </w:r>
    </w:p>
    <w:p>
      <w:pPr>
        <w:pStyle w:val="135"/>
        <w:numPr>
          <w:ilvl w:val="1"/>
          <w:numId w:val="148"/>
        </w:numPr>
        <w:ind w:left="0" w:firstLine="480"/>
        <w:rPr>
          <w:rFonts w:hAnsi="宋体" w:cs="Arial"/>
        </w:rPr>
      </w:pPr>
      <w:r>
        <w:rPr>
          <w:rFonts w:hint="eastAsia" w:hAnsi="宋体" w:cs="Arial"/>
        </w:rPr>
        <w:t>机房空调系统原理</w:t>
      </w:r>
    </w:p>
    <w:p>
      <w:pPr>
        <w:pStyle w:val="135"/>
        <w:numPr>
          <w:ilvl w:val="1"/>
          <w:numId w:val="148"/>
        </w:numPr>
        <w:ind w:left="0" w:firstLine="480"/>
        <w:rPr>
          <w:rFonts w:hAnsi="宋体" w:cs="Arial"/>
        </w:rPr>
      </w:pPr>
      <w:r>
        <w:rPr>
          <w:rFonts w:hint="eastAsia" w:hAnsi="宋体" w:cs="Arial"/>
        </w:rPr>
        <w:t>机房空调室内机的维护</w:t>
      </w:r>
    </w:p>
    <w:p>
      <w:pPr>
        <w:pStyle w:val="135"/>
        <w:numPr>
          <w:ilvl w:val="1"/>
          <w:numId w:val="148"/>
        </w:numPr>
        <w:ind w:left="0" w:firstLine="480"/>
        <w:rPr>
          <w:rFonts w:hAnsi="宋体" w:cs="Arial"/>
        </w:rPr>
      </w:pPr>
      <w:r>
        <w:rPr>
          <w:rFonts w:hint="eastAsia" w:hAnsi="宋体" w:cs="Arial"/>
        </w:rPr>
        <w:t>机房空调室外机的维护</w:t>
      </w:r>
    </w:p>
    <w:p>
      <w:pPr>
        <w:ind w:firstLine="480" w:firstLineChars="200"/>
        <w:rPr>
          <w:rFonts w:hAnsi="宋体" w:cs="Arial"/>
        </w:rPr>
      </w:pPr>
      <w:r>
        <w:rPr>
          <w:rFonts w:hint="eastAsia" w:hAnsi="宋体" w:cs="Arial"/>
        </w:rPr>
        <w:t>9、机房消防系统</w:t>
      </w:r>
    </w:p>
    <w:p>
      <w:pPr>
        <w:ind w:firstLine="480" w:firstLineChars="200"/>
        <w:rPr>
          <w:rFonts w:hAnsi="宋体" w:cs="Arial"/>
        </w:rPr>
      </w:pPr>
      <w:r>
        <w:rPr>
          <w:rFonts w:hint="eastAsia" w:hAnsi="宋体" w:cs="Arial"/>
        </w:rPr>
        <w:t>10、综合布线系统规划设计</w:t>
      </w:r>
    </w:p>
    <w:p>
      <w:pPr>
        <w:pStyle w:val="135"/>
        <w:numPr>
          <w:ilvl w:val="1"/>
          <w:numId w:val="149"/>
        </w:numPr>
        <w:ind w:left="0" w:firstLine="480"/>
        <w:rPr>
          <w:rFonts w:hAnsi="宋体" w:cs="Arial"/>
        </w:rPr>
      </w:pPr>
      <w:r>
        <w:rPr>
          <w:rFonts w:hint="eastAsia" w:hAnsi="宋体" w:cs="Arial"/>
        </w:rPr>
        <w:t>综合布线的概述</w:t>
      </w:r>
    </w:p>
    <w:p>
      <w:pPr>
        <w:pStyle w:val="135"/>
        <w:numPr>
          <w:ilvl w:val="1"/>
          <w:numId w:val="149"/>
        </w:numPr>
        <w:ind w:left="0" w:firstLine="480"/>
        <w:rPr>
          <w:rFonts w:hAnsi="宋体" w:cs="Arial"/>
        </w:rPr>
      </w:pPr>
      <w:r>
        <w:rPr>
          <w:rFonts w:hint="eastAsia" w:hAnsi="宋体" w:cs="Arial"/>
        </w:rPr>
        <w:t>综合布线所遵循相关标准</w:t>
      </w:r>
    </w:p>
    <w:p>
      <w:pPr>
        <w:pStyle w:val="135"/>
        <w:numPr>
          <w:ilvl w:val="1"/>
          <w:numId w:val="149"/>
        </w:numPr>
        <w:ind w:left="0" w:firstLine="480"/>
        <w:rPr>
          <w:rFonts w:hAnsi="宋体" w:cs="Arial"/>
        </w:rPr>
      </w:pPr>
      <w:r>
        <w:rPr>
          <w:rFonts w:hint="eastAsia" w:hAnsi="宋体" w:cs="Arial"/>
        </w:rPr>
        <w:t>综合布线系统组成</w:t>
      </w:r>
    </w:p>
    <w:p>
      <w:pPr>
        <w:pStyle w:val="135"/>
        <w:numPr>
          <w:ilvl w:val="1"/>
          <w:numId w:val="149"/>
        </w:numPr>
        <w:ind w:left="0" w:firstLine="480"/>
        <w:rPr>
          <w:rFonts w:hAnsi="宋体" w:cs="Arial"/>
        </w:rPr>
      </w:pPr>
      <w:r>
        <w:rPr>
          <w:rFonts w:hint="eastAsia" w:hAnsi="宋体" w:cs="Arial"/>
        </w:rPr>
        <w:t>综合布线系统的运营管理</w:t>
      </w:r>
    </w:p>
    <w:p>
      <w:pPr>
        <w:ind w:firstLine="480" w:firstLineChars="200"/>
        <w:rPr>
          <w:rFonts w:hAnsi="宋体" w:cs="Arial"/>
        </w:rPr>
      </w:pPr>
      <w:r>
        <w:rPr>
          <w:rFonts w:hint="eastAsia" w:hAnsi="宋体" w:cs="Arial"/>
        </w:rPr>
        <w:t>11、机房监控系统</w:t>
      </w:r>
    </w:p>
    <w:p>
      <w:pPr>
        <w:ind w:firstLine="480" w:firstLineChars="200"/>
        <w:rPr>
          <w:rFonts w:hAnsi="宋体" w:cs="Arial"/>
        </w:rPr>
      </w:pPr>
      <w:r>
        <w:rPr>
          <w:rFonts w:hint="eastAsia" w:hAnsi="宋体" w:cs="Arial"/>
        </w:rPr>
        <w:t>（1）监控系统主要组成部分及功能</w:t>
      </w:r>
    </w:p>
    <w:p>
      <w:pPr>
        <w:pStyle w:val="135"/>
        <w:numPr>
          <w:ilvl w:val="2"/>
          <w:numId w:val="150"/>
        </w:numPr>
        <w:ind w:left="960" w:leftChars="250" w:hanging="360" w:hangingChars="150"/>
        <w:rPr>
          <w:rFonts w:hAnsi="宋体" w:cs="Arial"/>
        </w:rPr>
      </w:pPr>
      <w:r>
        <w:rPr>
          <w:rFonts w:hint="eastAsia" w:hAnsi="宋体" w:cs="Arial"/>
        </w:rPr>
        <w:t>视频监控系统</w:t>
      </w:r>
    </w:p>
    <w:p>
      <w:pPr>
        <w:pStyle w:val="135"/>
        <w:numPr>
          <w:ilvl w:val="2"/>
          <w:numId w:val="150"/>
        </w:numPr>
        <w:ind w:left="960" w:leftChars="250" w:hanging="360" w:hangingChars="150"/>
        <w:rPr>
          <w:rFonts w:hAnsi="宋体" w:cs="Arial"/>
        </w:rPr>
      </w:pPr>
      <w:r>
        <w:rPr>
          <w:rFonts w:hint="eastAsia" w:hAnsi="宋体" w:cs="Arial"/>
        </w:rPr>
        <w:t>入侵检测系统</w:t>
      </w:r>
    </w:p>
    <w:p>
      <w:pPr>
        <w:pStyle w:val="135"/>
        <w:numPr>
          <w:ilvl w:val="2"/>
          <w:numId w:val="150"/>
        </w:numPr>
        <w:ind w:left="960" w:leftChars="250" w:hanging="360" w:hangingChars="150"/>
        <w:rPr>
          <w:rFonts w:hAnsi="宋体" w:cs="Arial"/>
        </w:rPr>
      </w:pPr>
      <w:r>
        <w:rPr>
          <w:rFonts w:hint="eastAsia" w:hAnsi="宋体" w:cs="Arial"/>
        </w:rPr>
        <w:t>门禁管理系统</w:t>
      </w:r>
    </w:p>
    <w:p>
      <w:pPr>
        <w:pStyle w:val="135"/>
        <w:numPr>
          <w:ilvl w:val="2"/>
          <w:numId w:val="150"/>
        </w:numPr>
        <w:ind w:left="960" w:leftChars="250" w:hanging="360" w:hangingChars="150"/>
        <w:rPr>
          <w:rFonts w:hAnsi="宋体" w:cs="Arial"/>
        </w:rPr>
      </w:pPr>
      <w:r>
        <w:rPr>
          <w:rFonts w:hint="eastAsia" w:hAnsi="宋体" w:cs="Arial"/>
        </w:rPr>
        <w:t>环境监控系统</w:t>
      </w:r>
    </w:p>
    <w:p>
      <w:pPr>
        <w:ind w:firstLine="480" w:firstLineChars="200"/>
        <w:rPr>
          <w:rFonts w:hAnsi="宋体" w:cs="Arial"/>
        </w:rPr>
      </w:pPr>
      <w:r>
        <w:rPr>
          <w:rFonts w:hint="eastAsia" w:hAnsi="宋体" w:cs="Arial"/>
        </w:rPr>
        <w:t>（2）监控系统在运营管理中的定位</w:t>
      </w:r>
    </w:p>
    <w:p>
      <w:pPr>
        <w:ind w:firstLine="480" w:firstLineChars="200"/>
        <w:rPr>
          <w:rFonts w:hAnsi="宋体" w:cs="Arial"/>
        </w:rPr>
      </w:pPr>
      <w:r>
        <w:rPr>
          <w:rFonts w:hint="eastAsia" w:hAnsi="宋体" w:cs="Arial"/>
        </w:rPr>
        <w:t>（3）监控系统在运营管理中的应用</w:t>
      </w:r>
    </w:p>
    <w:p>
      <w:pPr>
        <w:ind w:firstLine="480" w:firstLineChars="200"/>
        <w:rPr>
          <w:rFonts w:hAnsi="宋体" w:cs="Arial"/>
        </w:rPr>
      </w:pPr>
      <w:r>
        <w:rPr>
          <w:rFonts w:hint="eastAsia" w:hAnsi="宋体" w:cs="Arial"/>
        </w:rPr>
        <w:t>（4）监控系统在运营管理中常遇到的问题</w:t>
      </w:r>
    </w:p>
    <w:p>
      <w:pPr>
        <w:pStyle w:val="6"/>
        <w:numPr>
          <w:ilvl w:val="3"/>
          <w:numId w:val="72"/>
        </w:numPr>
        <w:rPr>
          <w:rFonts w:hAnsi="宋体"/>
          <w:color w:val="auto"/>
        </w:rPr>
      </w:pPr>
      <w:r>
        <w:rPr>
          <w:rFonts w:hint="eastAsia"/>
          <w:color w:val="auto"/>
        </w:rPr>
        <w:t>新型基础设施培训</w:t>
      </w:r>
    </w:p>
    <w:p>
      <w:pPr>
        <w:ind w:firstLine="480" w:firstLineChars="200"/>
        <w:rPr>
          <w:rFonts w:hAnsi="宋体" w:cs="Arial"/>
        </w:rPr>
      </w:pPr>
      <w:r>
        <w:rPr>
          <w:rFonts w:hint="eastAsia" w:hAnsi="宋体" w:cs="Arial"/>
        </w:rPr>
        <w:t>1、新型基础设施背景与发展现状</w:t>
      </w:r>
    </w:p>
    <w:p>
      <w:pPr>
        <w:ind w:firstLine="480" w:firstLineChars="200"/>
        <w:rPr>
          <w:rFonts w:hAnsi="宋体" w:cs="Arial"/>
        </w:rPr>
      </w:pPr>
      <w:r>
        <w:rPr>
          <w:rFonts w:hAnsi="宋体" w:cs="Arial"/>
        </w:rPr>
        <w:t>2</w:t>
      </w:r>
      <w:r>
        <w:rPr>
          <w:rFonts w:hint="eastAsia" w:hAnsi="宋体" w:cs="Arial"/>
        </w:rPr>
        <w:t>、新型基础设施相关标准规范</w:t>
      </w:r>
    </w:p>
    <w:p>
      <w:pPr>
        <w:ind w:firstLine="480" w:firstLineChars="200"/>
        <w:rPr>
          <w:rFonts w:hAnsi="宋体" w:cs="Arial"/>
        </w:rPr>
      </w:pPr>
      <w:r>
        <w:rPr>
          <w:rFonts w:hint="eastAsia" w:hAnsi="宋体" w:cs="Arial"/>
        </w:rPr>
        <w:t>3、数据中心相关新型基础设施技术及实践案例</w:t>
      </w:r>
    </w:p>
    <w:p>
      <w:pPr>
        <w:ind w:firstLine="480" w:firstLineChars="200"/>
        <w:rPr>
          <w:rFonts w:hAnsi="宋体" w:cs="Arial"/>
        </w:rPr>
      </w:pPr>
      <w:r>
        <w:rPr>
          <w:rFonts w:hAnsi="宋体" w:cs="Arial"/>
        </w:rPr>
        <w:t>4</w:t>
      </w:r>
      <w:r>
        <w:rPr>
          <w:rFonts w:hint="eastAsia" w:hAnsi="宋体" w:cs="Arial"/>
        </w:rPr>
        <w:t>、其他新型基础设施相关内容等</w:t>
      </w:r>
    </w:p>
    <w:p>
      <w:pPr>
        <w:ind w:firstLine="480" w:firstLineChars="200"/>
        <w:rPr>
          <w:rFonts w:hAnsi="宋体" w:cs="Arial"/>
        </w:rPr>
      </w:pPr>
    </w:p>
    <w:p>
      <w:pPr>
        <w:pStyle w:val="9"/>
        <w:sectPr>
          <w:headerReference r:id="rId23" w:type="default"/>
          <w:footerReference r:id="rId25" w:type="default"/>
          <w:headerReference r:id="rId24" w:type="even"/>
          <w:footerReference r:id="rId26" w:type="even"/>
          <w:pgSz w:w="11906" w:h="16838"/>
          <w:pgMar w:top="1418" w:right="1134" w:bottom="1418" w:left="1701" w:header="851" w:footer="992" w:gutter="0"/>
          <w:cols w:space="425" w:num="1"/>
          <w:docGrid w:type="lines" w:linePitch="436" w:charSpace="195"/>
        </w:sectPr>
      </w:pPr>
    </w:p>
    <w:p>
      <w:pPr>
        <w:pStyle w:val="9"/>
        <w:numPr>
          <w:ilvl w:val="6"/>
          <w:numId w:val="72"/>
        </w:numPr>
      </w:pPr>
      <w:bookmarkStart w:id="165" w:name="_Toc29763"/>
      <w:r>
        <w:rPr>
          <w:rFonts w:hint="eastAsia"/>
        </w:rPr>
        <w:t>技术文件及交付物</w:t>
      </w:r>
      <w:bookmarkEnd w:id="165"/>
    </w:p>
    <w:p>
      <w:pPr>
        <w:pStyle w:val="3"/>
        <w:numPr>
          <w:ilvl w:val="0"/>
          <w:numId w:val="72"/>
        </w:numPr>
        <w:rPr>
          <w:color w:val="auto"/>
        </w:rPr>
      </w:pPr>
    </w:p>
    <w:p>
      <w:pPr>
        <w:pStyle w:val="135"/>
        <w:numPr>
          <w:ilvl w:val="1"/>
          <w:numId w:val="151"/>
        </w:numPr>
        <w:ind w:left="0" w:firstLine="480"/>
        <w:rPr>
          <w:rFonts w:hAnsi="宋体" w:cs="Arial"/>
        </w:rPr>
      </w:pPr>
      <w:r>
        <w:rPr>
          <w:rFonts w:hint="eastAsia" w:hAnsi="宋体" w:cs="Arial"/>
        </w:rPr>
        <w:t>中标方应提供运行维护所需的运行、维护及管理有关的全套文件，并在建议书中列出所提供的书面技术资料详细清单。</w:t>
      </w:r>
    </w:p>
    <w:p>
      <w:pPr>
        <w:pStyle w:val="135"/>
        <w:numPr>
          <w:ilvl w:val="1"/>
          <w:numId w:val="151"/>
        </w:numPr>
        <w:ind w:left="0" w:firstLine="480"/>
        <w:rPr>
          <w:rFonts w:hAnsi="宋体" w:cs="Arial"/>
        </w:rPr>
      </w:pPr>
      <w:r>
        <w:rPr>
          <w:rFonts w:hint="eastAsia" w:hAnsi="宋体" w:cs="Arial"/>
        </w:rPr>
        <w:t>交付物至少应包括：中标方应提供本规范书运维体系交付清单中所要求的全部文档资料，包括管理手册、管理指南、操作流程、操作表单等。</w:t>
      </w:r>
    </w:p>
    <w:p>
      <w:pPr>
        <w:pStyle w:val="135"/>
        <w:numPr>
          <w:ilvl w:val="1"/>
          <w:numId w:val="151"/>
        </w:numPr>
        <w:ind w:left="0" w:firstLine="480"/>
        <w:rPr>
          <w:rFonts w:hAnsi="宋体" w:cs="Arial"/>
        </w:rPr>
      </w:pPr>
      <w:r>
        <w:rPr>
          <w:rFonts w:hint="eastAsia" w:hAnsi="宋体" w:cs="Arial"/>
        </w:rPr>
        <w:t>中标方提供的各类文档，名词术语应一致，并给出名词术语解释。</w:t>
      </w:r>
    </w:p>
    <w:p>
      <w:pPr>
        <w:pStyle w:val="135"/>
        <w:numPr>
          <w:ilvl w:val="1"/>
          <w:numId w:val="151"/>
        </w:numPr>
        <w:ind w:left="0" w:firstLine="480"/>
        <w:rPr>
          <w:rFonts w:hAnsi="宋体" w:cs="Arial"/>
        </w:rPr>
      </w:pPr>
      <w:r>
        <w:rPr>
          <w:rFonts w:hint="eastAsia" w:hAnsi="宋体" w:cs="Arial"/>
        </w:rPr>
        <w:t>中标方提供的技术文件应用中文或英文，培训教材和服务过程的管理和技术文档均应使用中文。</w:t>
      </w:r>
    </w:p>
    <w:p>
      <w:pPr>
        <w:ind w:firstLine="480" w:firstLineChars="200"/>
        <w:rPr>
          <w:rFonts w:hAnsi="宋体" w:cs="Arial"/>
        </w:rPr>
      </w:pPr>
    </w:p>
    <w:p>
      <w:pPr>
        <w:pStyle w:val="9"/>
        <w:sectPr>
          <w:pgSz w:w="11906" w:h="16838"/>
          <w:pgMar w:top="1418" w:right="1134" w:bottom="1418" w:left="1701" w:header="851" w:footer="992" w:gutter="0"/>
          <w:cols w:space="425" w:num="1"/>
          <w:docGrid w:type="lines" w:linePitch="436" w:charSpace="195"/>
        </w:sectPr>
      </w:pPr>
    </w:p>
    <w:p>
      <w:pPr>
        <w:pStyle w:val="9"/>
        <w:numPr>
          <w:ilvl w:val="6"/>
          <w:numId w:val="72"/>
        </w:numPr>
      </w:pPr>
      <w:bookmarkStart w:id="166" w:name="_Toc7783"/>
      <w:r>
        <w:rPr>
          <w:rFonts w:hint="eastAsia"/>
        </w:rPr>
        <w:t>其它</w:t>
      </w:r>
      <w:bookmarkEnd w:id="166"/>
    </w:p>
    <w:p>
      <w:pPr>
        <w:pStyle w:val="135"/>
        <w:numPr>
          <w:ilvl w:val="1"/>
          <w:numId w:val="152"/>
        </w:numPr>
        <w:ind w:left="0" w:firstLine="480"/>
        <w:rPr>
          <w:rFonts w:hAnsi="宋体" w:cs="Arial"/>
        </w:rPr>
      </w:pPr>
      <w:r>
        <w:rPr>
          <w:rFonts w:hint="eastAsia" w:hAnsi="宋体" w:cs="Arial"/>
        </w:rPr>
        <w:t>中标方应提供服务时所需的技术资料，中标方有责任在保证安全和质量的前提下提供技术服务，包括技术咨询等。</w:t>
      </w:r>
    </w:p>
    <w:p>
      <w:pPr>
        <w:pStyle w:val="135"/>
        <w:numPr>
          <w:ilvl w:val="1"/>
          <w:numId w:val="152"/>
        </w:numPr>
        <w:ind w:left="0" w:firstLine="480"/>
        <w:rPr>
          <w:rFonts w:hAnsi="宋体" w:cs="Arial"/>
        </w:rPr>
      </w:pPr>
      <w:r>
        <w:rPr>
          <w:rFonts w:hint="eastAsia" w:hAnsi="宋体" w:cs="Arial"/>
        </w:rPr>
        <w:t>在服务期间，采购方有权派出技术人员参加，中标方有义务对其进行指导。</w:t>
      </w:r>
    </w:p>
    <w:p>
      <w:pPr>
        <w:pStyle w:val="135"/>
        <w:numPr>
          <w:ilvl w:val="1"/>
          <w:numId w:val="152"/>
        </w:numPr>
        <w:ind w:left="0" w:firstLine="480"/>
        <w:rPr>
          <w:rFonts w:hAnsi="宋体" w:cs="Arial"/>
        </w:rPr>
      </w:pPr>
      <w:r>
        <w:rPr>
          <w:rFonts w:hint="eastAsia" w:hAnsi="宋体" w:cs="Arial"/>
        </w:rPr>
        <w:t>中标方应向采购方进行技术交底。</w:t>
      </w:r>
    </w:p>
    <w:p>
      <w:pPr>
        <w:pStyle w:val="135"/>
        <w:numPr>
          <w:ilvl w:val="1"/>
          <w:numId w:val="152"/>
        </w:numPr>
        <w:ind w:left="0" w:firstLine="480"/>
        <w:rPr>
          <w:rFonts w:hAnsi="宋体" w:cs="Arial"/>
        </w:rPr>
      </w:pPr>
      <w:r>
        <w:rPr>
          <w:rFonts w:hint="eastAsia" w:hAnsi="宋体" w:cs="Arial"/>
        </w:rPr>
        <w:t>双方对运维服务过程中所开发的运维系统工具及可执行代码、技术文档等研究开发成果共有知识产权，采购方拥有二次开发权。未经采购方许可，中标方不得将相关采购方资料提供给第三方。</w:t>
      </w:r>
    </w:p>
    <w:p>
      <w:pPr>
        <w:pStyle w:val="135"/>
        <w:numPr>
          <w:ilvl w:val="1"/>
          <w:numId w:val="152"/>
        </w:numPr>
        <w:ind w:left="0" w:firstLine="480"/>
        <w:rPr>
          <w:rFonts w:hAnsi="宋体" w:cs="Arial"/>
        </w:rPr>
      </w:pPr>
      <w:r>
        <w:rPr>
          <w:rFonts w:hint="eastAsia" w:hAnsi="宋体" w:cs="Arial"/>
        </w:rPr>
        <w:t>中标方在完成本年度服务后，应整理好本年度服务相关的服务总结，包括管理制度、流程规范、维护资产清单、维护资料、工具等，在下一年度维护开始时，及时做好服务移交工作。</w:t>
      </w:r>
    </w:p>
    <w:p/>
    <w:sectPr>
      <w:pgSz w:w="11906" w:h="16838"/>
      <w:pgMar w:top="1418" w:right="1134" w:bottom="1418" w:left="1701" w:header="851" w:footer="992" w:gutter="0"/>
      <w:cols w:space="425" w:num="1"/>
      <w:docGrid w:type="lines" w:linePitch="436" w:charSpace="19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200247B" w:usb2="00000009" w:usb3="00000000" w:csb0="200001FF" w:csb1="00000000"/>
  </w:font>
  <w:font w:name="Book Antiqua">
    <w:panose1 w:val="02040602050305030304"/>
    <w:charset w:val="00"/>
    <w:family w:val="roman"/>
    <w:pitch w:val="default"/>
    <w:sig w:usb0="00000287" w:usb1="00000000" w:usb2="00000000" w:usb3="00000000" w:csb0="2000009F" w:csb1="DFD70000"/>
  </w:font>
  <w:font w:name="MyanbingST">
    <w:altName w:val="微软雅黑"/>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宋体-简">
    <w:altName w:val="宋体"/>
    <w:panose1 w:val="00000000000000000000"/>
    <w:charset w:val="86"/>
    <w:family w:val="auto"/>
    <w:pitch w:val="default"/>
    <w:sig w:usb0="00000000" w:usb1="00000000" w:usb2="00000010" w:usb3="00000000" w:csb0="0004009F"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MingLiU">
    <w:altName w:val="金梅毛草書"/>
    <w:panose1 w:val="02010609000101010101"/>
    <w:charset w:val="88"/>
    <w:family w:val="modern"/>
    <w:pitch w:val="default"/>
    <w:sig w:usb0="00000000" w:usb1="00000000" w:usb2="00000010" w:usb3="00000000" w:csb0="00100000" w:csb1="00000000"/>
  </w:font>
  <w:font w:name="华文中宋">
    <w:panose1 w:val="02010600040101010101"/>
    <w:charset w:val="86"/>
    <w:family w:val="auto"/>
    <w:pitch w:val="default"/>
    <w:sig w:usb0="00000287" w:usb1="080F0000" w:usb2="00000000" w:usb3="00000000" w:csb0="0004009F" w:csb1="DFD70000"/>
  </w:font>
  <w:font w:name="??">
    <w:altName w:val="微软雅黑"/>
    <w:panose1 w:val="00000000000000000000"/>
    <w:charset w:val="86"/>
    <w:family w:val="swiss"/>
    <w:pitch w:val="default"/>
    <w:sig w:usb0="00000000" w:usb1="00000000" w:usb2="00000010" w:usb3="00000000" w:csb0="00040000" w:csb1="00000000"/>
  </w:font>
  <w:font w:name="Garamond">
    <w:panose1 w:val="02020404030301010803"/>
    <w:charset w:val="00"/>
    <w:family w:val="roman"/>
    <w:pitch w:val="default"/>
    <w:sig w:usb0="00000287" w:usb1="00000000" w:usb2="00000000" w:usb3="00000000" w:csb0="0000009F" w:csb1="DFD70000"/>
  </w:font>
  <w:font w:name="Arial Narrow">
    <w:panose1 w:val="020B0606020202030204"/>
    <w:charset w:val="00"/>
    <w:family w:val="swiss"/>
    <w:pitch w:val="default"/>
    <w:sig w:usb0="00000287" w:usb1="000008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华文新魏">
    <w:panose1 w:val="02010800040101010101"/>
    <w:charset w:val="86"/>
    <w:family w:val="auto"/>
    <w:pitch w:val="default"/>
    <w:sig w:usb0="00000001" w:usb1="080F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WenQuanYi Micro Hei">
    <w:altName w:val="Times New Roman"/>
    <w:panose1 w:val="00000000000000000000"/>
    <w:charset w:val="00"/>
    <w:family w:val="roman"/>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幼圆">
    <w:panose1 w:val="02010509060101010101"/>
    <w:charset w:val="86"/>
    <w:family w:val="modern"/>
    <w:pitch w:val="default"/>
    <w:sig w:usb0="00000001" w:usb1="080E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方正仿宋简体">
    <w:panose1 w:val="03000509000000000000"/>
    <w:charset w:val="86"/>
    <w:family w:val="auto"/>
    <w:pitch w:val="default"/>
    <w:sig w:usb0="00000001" w:usb1="080E0000" w:usb2="00000000" w:usb3="00000000" w:csb0="00040000" w:csb1="00000000"/>
  </w:font>
  <w:font w:name="Trebuchet MS">
    <w:panose1 w:val="020B0603020202020204"/>
    <w:charset w:val="00"/>
    <w:family w:val="swiss"/>
    <w:pitch w:val="default"/>
    <w:sig w:usb0="00000687" w:usb1="00000000" w:usb2="00000000" w:usb3="00000000" w:csb0="2000009F" w:csb1="00000000"/>
  </w:font>
  <w:font w:name="FuturaA Bk BT">
    <w:altName w:val="Segoe Print"/>
    <w:panose1 w:val="00000000000000000000"/>
    <w:charset w:val="00"/>
    <w:family w:val="auto"/>
    <w:pitch w:val="default"/>
    <w:sig w:usb0="00000000" w:usb1="00000000" w:usb2="00000000" w:usb3="00000000" w:csb0="0000001B" w:csb1="00000000"/>
  </w:font>
  <w:font w:name="..">
    <w:altName w:val="宋体"/>
    <w:panose1 w:val="00000000000000000000"/>
    <w:charset w:val="86"/>
    <w:family w:val="auto"/>
    <w:pitch w:val="default"/>
    <w:sig w:usb0="00000000" w:usb1="00000000" w:usb2="00000010" w:usb3="00000000" w:csb0="00040000" w:csb1="00000000"/>
  </w:font>
  <w:font w:name="Futura Bk">
    <w:altName w:val="Times New Roman"/>
    <w:panose1 w:val="00000000000000000000"/>
    <w:charset w:val="00"/>
    <w:family w:val="auto"/>
    <w:pitch w:val="default"/>
    <w:sig w:usb0="00000000" w:usb1="00000000" w:usb2="00000000" w:usb3="00000000" w:csb0="000001FB" w:csb1="00000000"/>
  </w:font>
  <w:font w:name="Helvetica Neue">
    <w:altName w:val="Times New Roman"/>
    <w:panose1 w:val="00000000000000000000"/>
    <w:charset w:val="00"/>
    <w:family w:val="auto"/>
    <w:pitch w:val="default"/>
    <w:sig w:usb0="00000000" w:usb1="00000000" w:usb2="00000010" w:usb3="00000000" w:csb0="00000000" w:csb1="00000000"/>
  </w:font>
  <w:font w:name="Plotter">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-1905</wp:posOffset>
              </wp:positionV>
              <wp:extent cx="5761355" cy="0"/>
              <wp:effectExtent l="0" t="0" r="0" b="0"/>
              <wp:wrapNone/>
              <wp:docPr id="267" name="Line 1046"/>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6" o:spid="_x0000_s1026" o:spt="20" style="position:absolute;left:0pt;margin-left:0pt;margin-top:-0.15pt;height:0pt;width:453.65pt;z-index:251659264;mso-width-relative:page;mso-height-relative:page;" filled="f" stroked="t" coordsize="21600,21600" o:gfxdata="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ZPdpk0wAAAAQBAAAPAAAAAAAAAAEAIAAAACIAAABkcnMv&#10;ZG93bnJldi54bWxQSwECFAAUAAAACACHTuJASbg8Cs8BAACkAwAADgAAAAAAAAABACAAAAAiAQAA&#10;ZHJzL2Uyb0RvYy54bWxQSwUGAAAAAAYABgBZAQAAYwUAAAAA&#10;">
              <v:fill on="f" focussize="0,0"/>
              <v:stroke color="#000000" joinstyle="round"/>
              <v:imagedata o:title=""/>
              <o:lock v:ext="edit" aspectratio="f"/>
            </v:line>
          </w:pict>
        </mc:Fallback>
      </mc:AlternateContent>
    </w:r>
    <w:r>
      <w:rPr>
        <w:rFonts w:hAnsi="宋体"/>
      </w:rPr>
      <w:fldChar w:fldCharType="begin"/>
    </w:r>
    <w:r>
      <w:rPr>
        <w:rFonts w:hAnsi="宋体"/>
      </w:rPr>
      <w:instrText xml:space="preserve"> PAGE </w:instrText>
    </w:r>
    <w:r>
      <w:rPr>
        <w:rFonts w:hAnsi="宋体"/>
      </w:rPr>
      <w:fldChar w:fldCharType="separate"/>
    </w:r>
    <w:r>
      <w:rPr>
        <w:rFonts w:hAnsi="宋体"/>
      </w:rPr>
      <w:t>II</w:t>
    </w:r>
    <w:r>
      <w:rPr>
        <w:rFonts w:hAnsi="宋体"/>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-1270</wp:posOffset>
              </wp:positionV>
              <wp:extent cx="5761355" cy="0"/>
              <wp:effectExtent l="0" t="0" r="10795" b="19050"/>
              <wp:wrapNone/>
              <wp:docPr id="268" name="Line 1048"/>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pt;margin-top:-0.1pt;height:0pt;width:453.65pt;z-index:251660288;mso-width-relative:page;mso-height-relative:page;" filled="f" stroked="t" coordsize="21600,21600" o:gfxdata="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iaqmfNIAAAAEAQAADwAAAAAAAAABACAAAAAiAAAAZHJzL2Rv&#10;d25yZXYueG1sUEsBAhQAFAAAAAgAh07iQPNSHhTOAQAApAMAAA4AAAAAAAAAAQAgAAAAIQEAAGRy&#10;cy9lMm9Eb2MueG1sUEsFBgAAAAAGAAYAWQEAAGEFA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VIII</w:t>
    </w:r>
    <w:r>
      <w:rPr>
        <w:rFonts w:hAnsi="宋体"/>
        <w:szCs w:val="21"/>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-1905</wp:posOffset>
              </wp:positionV>
              <wp:extent cx="5761355" cy="0"/>
              <wp:effectExtent l="0" t="0" r="0" b="0"/>
              <wp:wrapNone/>
              <wp:docPr id="1073742420" name="Line 1046"/>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6" o:spid="_x0000_s1026" o:spt="20" style="position:absolute;left:0pt;margin-left:0pt;margin-top:-0.15pt;height:0pt;width:453.65pt;z-index:251661312;mso-width-relative:page;mso-height-relative:page;" filled="f" stroked="t" coordsize="21600,21600" o:gfxdata="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Bk92mTTAAAABAEAAA8AAAAAAAAAAQAgAAAAIgAA&#10;AGRycy9kb3ducmV2LnhtbFBLAQIUABQAAAAIAIdO4kBTRT941AEAAKsDAAAOAAAAAAAAAAEAIAAA&#10;ACIBAABkcnMvZTJvRG9jLnhtbFBLBQYAAAAABgAGAFkBAABoBQAAAAA=&#10;">
              <v:fill on="f" focussize="0,0"/>
              <v:stroke color="#000000" joinstyle="round"/>
              <v:imagedata o:title=""/>
              <o:lock v:ext="edit" aspectratio="f"/>
            </v:line>
          </w:pict>
        </mc:Fallback>
      </mc:AlternateContent>
    </w:r>
    <w:r>
      <w:rPr>
        <w:rFonts w:hAnsi="宋体"/>
      </w:rPr>
      <w:fldChar w:fldCharType="begin"/>
    </w:r>
    <w:r>
      <w:rPr>
        <w:rFonts w:hAnsi="宋体"/>
      </w:rPr>
      <w:instrText xml:space="preserve"> PAGE </w:instrText>
    </w:r>
    <w:r>
      <w:rPr>
        <w:rFonts w:hAnsi="宋体"/>
      </w:rPr>
      <w:fldChar w:fldCharType="separate"/>
    </w:r>
    <w:r>
      <w:rPr>
        <w:rFonts w:hAnsi="宋体"/>
      </w:rPr>
      <w:t>29</w:t>
    </w:r>
    <w:r>
      <w:rPr>
        <w:rFonts w:hAnsi="宋体"/>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-1270</wp:posOffset>
              </wp:positionV>
              <wp:extent cx="5761355" cy="0"/>
              <wp:effectExtent l="0" t="0" r="10795" b="19050"/>
              <wp:wrapNone/>
              <wp:docPr id="1073742430" name="Line 1048"/>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pt;margin-top:-0.1pt;height:0pt;width:453.65pt;z-index:251662336;mso-width-relative:page;mso-height-relative:page;" filled="f" stroked="t" coordsize="21600,21600" o:gfxdata="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aqmfNIAAAAEAQAADwAAAAAAAAABACAAAAAiAAAA&#10;ZHJzL2Rvd25yZXYueG1sUEsBAhQAFAAAAAgAh07iQEvmnZrUAQAAqwMAAA4AAAAAAAAAAQAgAAAA&#10;IQEAAGRycy9lMm9Eb2MueG1sUEsFBgAAAAAGAAYAWQEAAGcFA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18</w:t>
    </w:r>
    <w:r>
      <w:rPr>
        <w:rFonts w:hAnsi="宋体"/>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tabs>
        <w:tab w:val="center" w:pos="4431"/>
        <w:tab w:val="right" w:pos="9080"/>
      </w:tabs>
      <w:jc w:val="center"/>
      <w:rPr>
        <w:rFonts w:hAnsi="宋体"/>
      </w:rPr>
    </w:pPr>
    <w:r>
      <w:rPr>
        <w:rFonts w:hAnsi="宋体"/>
      </w:rPr>
      <w:fldChar w:fldCharType="begin"/>
    </w:r>
    <w:r>
      <w:rPr>
        <w:rFonts w:hAnsi="宋体"/>
      </w:rPr>
      <w:instrText xml:space="preserve"> PAGE </w:instrText>
    </w:r>
    <w:r>
      <w:rPr>
        <w:rFonts w:hAnsi="宋体"/>
      </w:rPr>
      <w:fldChar w:fldCharType="separate"/>
    </w:r>
    <w:r>
      <w:rPr>
        <w:rFonts w:hAnsi="宋体"/>
      </w:rPr>
      <w:t>30</w:t>
    </w:r>
    <w:r>
      <w:rPr>
        <w:rFonts w:hAnsi="宋体"/>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-1905</wp:posOffset>
              </wp:positionV>
              <wp:extent cx="5761355" cy="0"/>
              <wp:effectExtent l="0" t="0" r="0" b="0"/>
              <wp:wrapNone/>
              <wp:docPr id="2079772170" name="Line 1046"/>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6" o:spid="_x0000_s1026" o:spt="20" style="position:absolute;left:0pt;margin-left:0pt;margin-top:-0.15pt;height:0pt;width:453.65pt;z-index:251663360;mso-width-relative:page;mso-height-relative:page;" filled="f" stroked="t" coordsize="21600,21600" o:gfxdata="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ZPdpk0wAAAAQBAAAPAAAAAAAAAAEAIAAAACIA&#10;AABkcnMvZG93bnJldi54bWxQSwECFAAUAAAACACHTuJATgzRr9UBAACrAwAADgAAAAAAAAABACAA&#10;AAAiAQAAZHJzL2Uyb0RvYy54bWxQSwUGAAAAAAYABgBZAQAAaQUAAAAA&#10;">
              <v:fill on="f" focussize="0,0"/>
              <v:stroke color="#000000" joinstyle="round"/>
              <v:imagedata o:title=""/>
              <o:lock v:ext="edit" aspectratio="f"/>
            </v:line>
          </w:pict>
        </mc:Fallback>
      </mc:AlternateContent>
    </w:r>
    <w:r>
      <w:rPr>
        <w:rFonts w:hAnsi="宋体"/>
      </w:rPr>
      <w:fldChar w:fldCharType="begin"/>
    </w:r>
    <w:r>
      <w:rPr>
        <w:rFonts w:hAnsi="宋体"/>
      </w:rPr>
      <w:instrText xml:space="preserve"> PAGE </w:instrText>
    </w:r>
    <w:r>
      <w:rPr>
        <w:rFonts w:hAnsi="宋体"/>
      </w:rPr>
      <w:fldChar w:fldCharType="separate"/>
    </w:r>
    <w:r>
      <w:rPr>
        <w:rFonts w:hAnsi="宋体"/>
      </w:rPr>
      <w:t>48</w:t>
    </w:r>
    <w:r>
      <w:rPr>
        <w:rFonts w:hAnsi="宋体"/>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-1270</wp:posOffset>
              </wp:positionV>
              <wp:extent cx="5761355" cy="0"/>
              <wp:effectExtent l="0" t="0" r="10795" b="19050"/>
              <wp:wrapNone/>
              <wp:docPr id="456053254" name="Line 1048"/>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pt;margin-top:-0.1pt;height:0pt;width:453.65pt;z-index:251664384;mso-width-relative:page;mso-height-relative:page;" filled="f" stroked="t" coordsize="21600,21600" o:gfxdata="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aqmfNIAAAAEAQAADwAAAAAAAAABACAAAAAiAAAA&#10;ZHJzL2Rvd25yZXYueG1sUEsBAhQAFAAAAAgAh07iQI6cENrUAQAAqgMAAA4AAAAAAAAAAQAgAAAA&#10;IQEAAGRycy9lMm9Eb2MueG1sUEsFBgAAAAAGAAYAWQEAAGcFA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18</w:t>
    </w:r>
    <w:r>
      <w:rPr>
        <w:rFonts w:hAnsi="宋体"/>
        <w:szCs w:val="21"/>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tabs>
        <w:tab w:val="center" w:pos="4431"/>
        <w:tab w:val="right" w:pos="9080"/>
      </w:tabs>
      <w:jc w:val="center"/>
      <w:rPr>
        <w:rFonts w:hAnsi="宋体"/>
      </w:rPr>
    </w:pPr>
    <w:r>
      <w:rPr>
        <w:rFonts w:hAnsi="宋体"/>
      </w:rPr>
      <w:fldChar w:fldCharType="begin"/>
    </w:r>
    <w:r>
      <w:rPr>
        <w:rFonts w:hAnsi="宋体"/>
      </w:rPr>
      <w:instrText xml:space="preserve"> PAGE </w:instrText>
    </w:r>
    <w:r>
      <w:rPr>
        <w:rFonts w:hAnsi="宋体"/>
      </w:rPr>
      <w:fldChar w:fldCharType="separate"/>
    </w:r>
    <w:r>
      <w:rPr>
        <w:rFonts w:hAnsi="宋体"/>
      </w:rPr>
      <w:t>139</w:t>
    </w:r>
    <w:r>
      <w:rPr>
        <w:rFonts w:hAnsi="宋体"/>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auto" w:sz="4" w:space="1"/>
      </w:pBdr>
      <w:tabs>
        <w:tab w:val="center" w:pos="4431"/>
        <w:tab w:val="right" w:pos="9080"/>
      </w:tabs>
      <w:jc w:val="center"/>
      <w:rPr>
        <w:rFonts w:hAnsi="宋体"/>
      </w:rPr>
    </w:pP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18</w:t>
    </w:r>
    <w:r>
      <w:rPr>
        <w:rFonts w:hAnsi="宋体"/>
        <w:szCs w:val="21"/>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-1905</wp:posOffset>
              </wp:positionV>
              <wp:extent cx="5761355" cy="0"/>
              <wp:effectExtent l="0" t="0" r="0" b="0"/>
              <wp:wrapNone/>
              <wp:docPr id="1854097849" name="Line 1046"/>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6" o:spid="_x0000_s1026" o:spt="20" style="position:absolute;left:0pt;margin-left:0pt;margin-top:-0.15pt;height:0pt;width:453.65pt;z-index:251665408;mso-width-relative:page;mso-height-relative:page;" filled="f" stroked="t" coordsize="21600,21600" o:gfxdata="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ZPdpk0wAAAAQBAAAPAAAAAAAAAAEAIAAAACIA&#10;AABkcnMvZG93bnJldi54bWxQSwECFAAUAAAACACHTuJAdocMgdUBAACrAwAADgAAAAAAAAABACAA&#10;AAAiAQAAZHJzL2Uyb0RvYy54bWxQSwUGAAAAAAYABgBZAQAAaQUAAAAA&#10;">
              <v:fill on="f" focussize="0,0"/>
              <v:stroke color="#000000" joinstyle="round"/>
              <v:imagedata o:title=""/>
              <o:lock v:ext="edit" aspectratio="f"/>
            </v:line>
          </w:pict>
        </mc:Fallback>
      </mc:AlternateContent>
    </w:r>
    <w:r>
      <w:rPr>
        <w:rFonts w:hAnsi="宋体"/>
      </w:rPr>
      <w:fldChar w:fldCharType="begin"/>
    </w:r>
    <w:r>
      <w:rPr>
        <w:rFonts w:hAnsi="宋体"/>
      </w:rPr>
      <w:instrText xml:space="preserve"> PAGE </w:instrText>
    </w:r>
    <w:r>
      <w:rPr>
        <w:rFonts w:hAnsi="宋体"/>
      </w:rPr>
      <w:fldChar w:fldCharType="separate"/>
    </w:r>
    <w:r>
      <w:rPr>
        <w:rFonts w:hAnsi="宋体"/>
      </w:rPr>
      <w:t>141</w:t>
    </w:r>
    <w:r>
      <w:rPr>
        <w:rFonts w:hAnsi="宋体"/>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-1270</wp:posOffset>
              </wp:positionV>
              <wp:extent cx="5761355" cy="0"/>
              <wp:effectExtent l="0" t="0" r="10795" b="19050"/>
              <wp:wrapNone/>
              <wp:docPr id="1384038573" name="Line 1048"/>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pt;margin-top:-0.1pt;height:0pt;width:453.65pt;z-index:251667456;mso-width-relative:page;mso-height-relative:page;" filled="f" stroked="t" coordsize="21600,21600" o:gfxdata="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ImqpnzSAAAABAEAAA8AAAAAAAAAAQAgAAAAIgAA&#10;AGRycy9kb3ducmV2LnhtbFBLAQIUABQAAAAIAIdO4kDi+/tX1QEAAKsDAAAOAAAAAAAAAAEAIAAA&#10;ACEBAABkcnMvZTJvRG9jLnhtbFBLBQYAAAAABgAGAFkBAABoBQ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18</w:t>
    </w:r>
    <w:r>
      <w:rPr>
        <w:rFonts w:hAnsi="宋体"/>
        <w:szCs w:val="21"/>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8480" behindDoc="0" locked="0" layoutInCell="1" allowOverlap="1">
              <wp:simplePos x="0" y="0"/>
              <wp:positionH relativeFrom="column">
                <wp:posOffset>0</wp:posOffset>
              </wp:positionH>
              <wp:positionV relativeFrom="paragraph">
                <wp:posOffset>-1905</wp:posOffset>
              </wp:positionV>
              <wp:extent cx="5761355" cy="0"/>
              <wp:effectExtent l="0" t="0" r="0" b="0"/>
              <wp:wrapNone/>
              <wp:docPr id="2116178317" name="Line 1046"/>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6" o:spid="_x0000_s1026" o:spt="20" style="position:absolute;left:0pt;margin-left:0pt;margin-top:-0.15pt;height:0pt;width:453.65pt;z-index:251668480;mso-width-relative:page;mso-height-relative:page;" filled="f" stroked="t" coordsize="21600,21600" o:gfxdata="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Bk92mTTAAAABAEAAA8AAAAAAAAAAQAgAAAAIgAA&#10;AGRycy9kb3ducmV2LnhtbFBLAQIUABQAAAAIAIdO4kCKWrk11AEAAKsDAAAOAAAAAAAAAAEAIAAA&#10;ACIBAABkcnMvZTJvRG9jLnhtbFBLBQYAAAAABgAGAFkBAABoBQAAAAA=&#10;">
              <v:fill on="f" focussize="0,0"/>
              <v:stroke color="#000000" joinstyle="round"/>
              <v:imagedata o:title=""/>
              <o:lock v:ext="edit" aspectratio="f"/>
            </v:line>
          </w:pict>
        </mc:Fallback>
      </mc:AlternateContent>
    </w:r>
    <w:r>
      <w:rPr>
        <w:rFonts w:hAnsi="宋体"/>
      </w:rPr>
      <w:fldChar w:fldCharType="begin"/>
    </w:r>
    <w:r>
      <w:rPr>
        <w:rFonts w:hAnsi="宋体"/>
      </w:rPr>
      <w:instrText xml:space="preserve"> PAGE </w:instrText>
    </w:r>
    <w:r>
      <w:rPr>
        <w:rFonts w:hAnsi="宋体"/>
      </w:rPr>
      <w:fldChar w:fldCharType="separate"/>
    </w:r>
    <w:r>
      <w:rPr>
        <w:rFonts w:hAnsi="宋体"/>
      </w:rPr>
      <w:t>149</w:t>
    </w:r>
    <w:r>
      <w:rPr>
        <w:rFonts w:hAnsi="宋体"/>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431"/>
        <w:tab w:val="right" w:pos="9080"/>
      </w:tabs>
      <w:jc w:val="center"/>
      <w:rPr>
        <w:rFonts w:hAnsi="宋体"/>
      </w:rPr>
    </w:pPr>
    <w: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-1270</wp:posOffset>
              </wp:positionV>
              <wp:extent cx="5761355" cy="0"/>
              <wp:effectExtent l="0" t="0" r="10795" b="19050"/>
              <wp:wrapNone/>
              <wp:docPr id="2082771221" name="Line 1048"/>
              <wp:cNvGraphicFramePr/>
              <a:graphic xmlns:a="http://schemas.openxmlformats.org/drawingml/2006/main">
                <a:graphicData uri="http://schemas.microsoft.com/office/word/2010/wordprocessingShape">
                  <wps:wsp>
                    <wps:cNvCnPr>
                      <a:cxnSpLocks noChangeShapeType="1"/>
                    </wps:cNvCnPr>
                    <wps:spPr bwMode="auto">
                      <a:xfrm>
                        <a:off x="0" y="0"/>
                        <a:ext cx="5761355" cy="0"/>
                      </a:xfrm>
                      <a:prstGeom prst="line">
                        <a:avLst/>
                      </a:prstGeom>
                      <a:noFill/>
                      <a:ln w="9525">
                        <a:solidFill>
                          <a:srgbClr val="000000"/>
                        </a:solidFill>
                        <a:round/>
                      </a:ln>
                    </wps:spPr>
                    <wps:bodyPr/>
                  </wps:wsp>
                </a:graphicData>
              </a:graphic>
            </wp:anchor>
          </w:drawing>
        </mc:Choice>
        <mc:Fallback>
          <w:pict>
            <v:line id="Line 1048" o:spid="_x0000_s1026" o:spt="20" style="position:absolute;left:0pt;margin-left:0pt;margin-top:-0.1pt;height:0pt;width:453.65pt;z-index:251666432;mso-width-relative:page;mso-height-relative:page;" filled="f" stroked="t" coordsize="21600,21600" o:gfxdata="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aqmfNIAAAAEAQAADwAAAAAAAAABACAAAAAiAAAA&#10;ZHJzL2Rvd25yZXYueG1sUEsBAhQAFAAAAAgAh07iQIO4X0XUAQAAqwMAAA4AAAAAAAAAAQAgAAAA&#10;IQEAAGRycy9lMm9Eb2MueG1sUEsFBgAAAAAGAAYAWQEAAGcFAAAAAA==&#10;">
              <v:fill on="f" focussize="0,0"/>
              <v:stroke color="#000000" joinstyle="round"/>
              <v:imagedata o:title=""/>
              <o:lock v:ext="edit" aspectratio="f"/>
            </v:line>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18</w:t>
    </w:r>
    <w:r>
      <w:rPr>
        <w:rFonts w:hAnsi="宋体"/>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w:t>
    </w:r>
    <w:r>
      <w:t>)</w:t>
    </w:r>
    <w:r>
      <w:rPr>
        <w:rFonts w:hint="eastAsia"/>
      </w:rPr>
      <w:t>基础设施运维服务项目（2024年度）技术规范书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福建省政务云平台基础设施运维服务项目（2024年度）技术规范书</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福建省政务云平台基础设施运维服务项目（2024年度）技术规范书</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福建省政务云平台基础设施运维服务项目（2024年度）技术规范书</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数字福建云计算中心(政务云)基础设施运维服务项目（2024年度）技术规范书</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tabs>
        <w:tab w:val="center" w:pos="4431"/>
        <w:tab w:val="right" w:pos="9073"/>
        <w:tab w:val="clear" w:pos="4153"/>
        <w:tab w:val="clear" w:pos="8306"/>
      </w:tabs>
      <w:rPr>
        <w:rFonts w:hAnsi="宋体" w:cs="Arial"/>
      </w:rPr>
    </w:pPr>
    <w:r>
      <w:rPr>
        <w:rFonts w:hint="eastAsia"/>
      </w:rPr>
      <w:t>福建省政务云平台基础设施运维服务项目（2024年度）技术规范书</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6D6F4E"/>
    <w:multiLevelType w:val="singleLevel"/>
    <w:tmpl w:val="8E6D6F4E"/>
    <w:lvl w:ilvl="0" w:tentative="0">
      <w:start w:val="1"/>
      <w:numFmt w:val="decimal"/>
      <w:suff w:val="nothing"/>
      <w:lvlText w:val="%1、"/>
      <w:lvlJc w:val="left"/>
    </w:lvl>
  </w:abstractNum>
  <w:abstractNum w:abstractNumId="1">
    <w:nsid w:val="FFFFFF7C"/>
    <w:multiLevelType w:val="singleLevel"/>
    <w:tmpl w:val="FFFFFF7C"/>
    <w:lvl w:ilvl="0" w:tentative="0">
      <w:start w:val="1"/>
      <w:numFmt w:val="decimal"/>
      <w:pStyle w:val="55"/>
      <w:lvlText w:val="%1."/>
      <w:lvlJc w:val="left"/>
      <w:pPr>
        <w:tabs>
          <w:tab w:val="left" w:pos="2040"/>
        </w:tabs>
        <w:ind w:left="2040" w:leftChars="800" w:hanging="360" w:hangingChars="200"/>
      </w:pPr>
    </w:lvl>
  </w:abstractNum>
  <w:abstractNum w:abstractNumId="2">
    <w:nsid w:val="FFFFFF83"/>
    <w:multiLevelType w:val="singleLevel"/>
    <w:tmpl w:val="FFFFFF83"/>
    <w:lvl w:ilvl="0" w:tentative="0">
      <w:start w:val="1"/>
      <w:numFmt w:val="bullet"/>
      <w:pStyle w:val="854"/>
      <w:lvlText w:val=""/>
      <w:lvlJc w:val="left"/>
      <w:pPr>
        <w:tabs>
          <w:tab w:val="left" w:pos="780"/>
        </w:tabs>
        <w:ind w:left="780" w:leftChars="200" w:hanging="360" w:hangingChars="200"/>
      </w:pPr>
      <w:rPr>
        <w:rFonts w:hint="default" w:ascii="Wingdings" w:hAnsi="Wingdings"/>
      </w:rPr>
    </w:lvl>
  </w:abstractNum>
  <w:abstractNum w:abstractNumId="3">
    <w:nsid w:val="FFFFFF88"/>
    <w:multiLevelType w:val="singleLevel"/>
    <w:tmpl w:val="FFFFFF88"/>
    <w:lvl w:ilvl="0" w:tentative="0">
      <w:start w:val="1"/>
      <w:numFmt w:val="decimal"/>
      <w:pStyle w:val="19"/>
      <w:lvlText w:val="%1."/>
      <w:lvlJc w:val="left"/>
    </w:lvl>
  </w:abstractNum>
  <w:abstractNum w:abstractNumId="4">
    <w:nsid w:val="00000020"/>
    <w:multiLevelType w:val="multilevel"/>
    <w:tmpl w:val="00000020"/>
    <w:lvl w:ilvl="0" w:tentative="0">
      <w:start w:val="1"/>
      <w:numFmt w:val="decimal"/>
      <w:suff w:val="space"/>
      <w:lvlText w:val="%1."/>
      <w:lvlJc w:val="left"/>
      <w:rPr>
        <w:rFonts w:hint="default" w:ascii="Arial" w:hAnsi="Arial" w:eastAsia="宋体" w:cs="Times New Roman"/>
      </w:rPr>
    </w:lvl>
    <w:lvl w:ilvl="1" w:tentative="0">
      <w:start w:val="1"/>
      <w:numFmt w:val="decimal"/>
      <w:pStyle w:val="437"/>
      <w:suff w:val="space"/>
      <w:lvlText w:val="%1.%2"/>
      <w:lvlJc w:val="left"/>
      <w:rPr>
        <w:rFonts w:hint="default" w:ascii="Arial" w:hAnsi="Arial" w:cs="Arial"/>
        <w:b/>
        <w:bCs w:val="0"/>
        <w:i w:val="0"/>
        <w:iCs w:val="0"/>
        <w:caps w:val="0"/>
        <w:smallCaps w:val="0"/>
        <w:strike w:val="0"/>
        <w:dstrike w:val="0"/>
        <w:snapToGrid w:val="0"/>
        <w:color w:val="000000"/>
        <w:spacing w:val="0"/>
        <w:w w:val="0"/>
        <w:kern w:val="0"/>
        <w:position w:val="0"/>
        <w:szCs w:val="16"/>
        <w:u w:val="none"/>
      </w:rPr>
    </w:lvl>
    <w:lvl w:ilvl="2" w:tentative="0">
      <w:start w:val="1"/>
      <w:numFmt w:val="decimal"/>
      <w:suff w:val="space"/>
      <w:lvlText w:val="%1.%2.%3"/>
      <w:lvlJc w:val="left"/>
      <w:rPr>
        <w:rFonts w:hint="default" w:ascii="Arial" w:hAnsi="Arial" w:eastAsia="宋体" w:cs="Times New Roman"/>
        <w:color w:val="auto"/>
        <w:sz w:val="28"/>
        <w:szCs w:val="28"/>
      </w:rPr>
    </w:lvl>
    <w:lvl w:ilvl="3" w:tentative="0">
      <w:start w:val="1"/>
      <w:numFmt w:val="decimal"/>
      <w:suff w:val="space"/>
      <w:lvlText w:val="%1.%2.%3.%4"/>
      <w:lvlJc w:val="left"/>
      <w:rPr>
        <w:rFonts w:hint="default" w:ascii="Arial" w:hAnsi="Arial" w:cs="Arial"/>
        <w:b/>
      </w:rPr>
    </w:lvl>
    <w:lvl w:ilvl="4" w:tentative="0">
      <w:start w:val="1"/>
      <w:numFmt w:val="decimal"/>
      <w:suff w:val="space"/>
      <w:lvlText w:val="%1.%2.%3.%4.%5"/>
      <w:lvlJc w:val="left"/>
      <w:rPr>
        <w:rFonts w:hint="eastAsia" w:cs="Times New Roman"/>
      </w:rPr>
    </w:lvl>
    <w:lvl w:ilvl="5" w:tentative="0">
      <w:start w:val="1"/>
      <w:numFmt w:val="none"/>
      <w:suff w:val="nothing"/>
      <w:lvlText w:val=""/>
      <w:lvlJc w:val="left"/>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5">
    <w:nsid w:val="000000A5"/>
    <w:multiLevelType w:val="singleLevel"/>
    <w:tmpl w:val="000000A5"/>
    <w:lvl w:ilvl="0" w:tentative="0">
      <w:start w:val="1"/>
      <w:numFmt w:val="decimal"/>
      <w:pStyle w:val="436"/>
      <w:lvlText w:val="%1."/>
      <w:lvlJc w:val="left"/>
      <w:pPr>
        <w:tabs>
          <w:tab w:val="left" w:pos="1145"/>
        </w:tabs>
        <w:ind w:left="902" w:hanging="477"/>
      </w:pPr>
      <w:rPr>
        <w:rFonts w:hint="eastAsia"/>
      </w:rPr>
    </w:lvl>
  </w:abstractNum>
  <w:abstractNum w:abstractNumId="6">
    <w:nsid w:val="01F072AF"/>
    <w:multiLevelType w:val="multilevel"/>
    <w:tmpl w:val="01F072AF"/>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7">
    <w:nsid w:val="033B1440"/>
    <w:multiLevelType w:val="multilevel"/>
    <w:tmpl w:val="033B1440"/>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8">
    <w:nsid w:val="05B0723B"/>
    <w:multiLevelType w:val="multilevel"/>
    <w:tmpl w:val="05B0723B"/>
    <w:lvl w:ilvl="0" w:tentative="0">
      <w:start w:val="1"/>
      <w:numFmt w:val="decimal"/>
      <w:pStyle w:val="847"/>
      <w:lvlText w:val="%1)"/>
      <w:lvlJc w:val="left"/>
      <w:pPr>
        <w:tabs>
          <w:tab w:val="left" w:pos="900"/>
        </w:tabs>
        <w:ind w:left="90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pStyle w:val="917"/>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6774216"/>
    <w:multiLevelType w:val="multilevel"/>
    <w:tmpl w:val="06774216"/>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0">
    <w:nsid w:val="069C2FEF"/>
    <w:multiLevelType w:val="multilevel"/>
    <w:tmpl w:val="069C2FEF"/>
    <w:lvl w:ilvl="0" w:tentative="0">
      <w:start w:val="1"/>
      <w:numFmt w:val="decimal"/>
      <w:suff w:val="space"/>
      <w:lvlText w:val="第%1章"/>
      <w:lvlJc w:val="left"/>
      <w:pPr>
        <w:ind w:left="425" w:hanging="425"/>
      </w:pPr>
      <w:rPr>
        <w:rFonts w:hint="eastAsia"/>
      </w:rPr>
    </w:lvl>
    <w:lvl w:ilvl="1" w:tentative="0">
      <w:start w:val="1"/>
      <w:numFmt w:val="decimal"/>
      <w:isLgl/>
      <w:suff w:val="space"/>
      <w:lvlText w:val="%1.%2"/>
      <w:lvlJc w:val="left"/>
      <w:pPr>
        <w:ind w:left="567" w:hanging="567"/>
      </w:pPr>
      <w:rPr>
        <w:rFonts w:hint="eastAsia"/>
      </w:rPr>
    </w:lvl>
    <w:lvl w:ilvl="2" w:tentative="0">
      <w:start w:val="1"/>
      <w:numFmt w:val="decimal"/>
      <w:isLgl/>
      <w:suff w:val="space"/>
      <w:lvlText w:val="3.1.%3"/>
      <w:lvlJc w:val="left"/>
      <w:pPr>
        <w:ind w:left="0" w:firstLine="0"/>
      </w:pPr>
      <w:rPr>
        <w:rFonts w:hint="default" w:ascii="Times New Roman" w:hAnsi="Times New Roman" w:cs="Times New Roman"/>
      </w:rPr>
    </w:lvl>
    <w:lvl w:ilvl="3" w:tentative="0">
      <w:start w:val="1"/>
      <w:numFmt w:val="decimal"/>
      <w:pStyle w:val="319"/>
      <w:isLgl/>
      <w:suff w:val="space"/>
      <w:lvlText w:val="3.1.2.%4"/>
      <w:lvlJc w:val="left"/>
      <w:pPr>
        <w:ind w:left="0" w:firstLine="0"/>
      </w:pPr>
      <w:rPr>
        <w:rFonts w:hint="default" w:ascii="Times New Roman" w:hAnsi="Times New Roman" w:cs="Times New Roman"/>
      </w:rPr>
    </w:lvl>
    <w:lvl w:ilvl="4" w:tentative="0">
      <w:start w:val="1"/>
      <w:numFmt w:val="decimal"/>
      <w:isLgl/>
      <w:suff w:val="space"/>
      <w:lvlText w:val="3.1.1.1.%5"/>
      <w:lvlJc w:val="left"/>
      <w:pPr>
        <w:ind w:left="850" w:hanging="850"/>
      </w:pPr>
      <w:rPr>
        <w:rFonts w:hint="eastAsia"/>
      </w:rPr>
    </w:lvl>
    <w:lvl w:ilvl="5" w:tentative="0">
      <w:start w:val="1"/>
      <w:numFmt w:val="decimal"/>
      <w:isLgl/>
      <w:suff w:val="space"/>
      <w:lvlText w:val="%1.%2.%3.%4.%5.%6"/>
      <w:lvlJc w:val="left"/>
      <w:pPr>
        <w:ind w:left="3260" w:hanging="1134"/>
      </w:pPr>
      <w:rPr>
        <w:rFonts w:hint="eastAsia"/>
      </w:rPr>
    </w:lvl>
    <w:lvl w:ilvl="6" w:tentative="0">
      <w:start w:val="1"/>
      <w:numFmt w:val="decimal"/>
      <w:isLgl/>
      <w:suff w:val="space"/>
      <w:lvlText w:val="%1.%2.%3.%4.%5.%6.%7"/>
      <w:lvlJc w:val="left"/>
      <w:pPr>
        <w:ind w:left="3827" w:hanging="1276"/>
      </w:pPr>
      <w:rPr>
        <w:rFonts w:hint="eastAsia"/>
      </w:rPr>
    </w:lvl>
    <w:lvl w:ilvl="7" w:tentative="0">
      <w:start w:val="1"/>
      <w:numFmt w:val="decimal"/>
      <w:isLgl/>
      <w:suff w:val="space"/>
      <w:lvlText w:val="%1.%2.%3.%4.%5.%6.%7.%8"/>
      <w:lvlJc w:val="left"/>
      <w:pPr>
        <w:ind w:left="4394" w:hanging="1418"/>
      </w:pPr>
      <w:rPr>
        <w:rFonts w:hint="eastAsia"/>
      </w:rPr>
    </w:lvl>
    <w:lvl w:ilvl="8" w:tentative="0">
      <w:start w:val="1"/>
      <w:numFmt w:val="decimal"/>
      <w:isLgl/>
      <w:suff w:val="space"/>
      <w:lvlText w:val="%1.%2.%3.%4.%5.%6.%7.%8.%9"/>
      <w:lvlJc w:val="left"/>
      <w:pPr>
        <w:ind w:left="5102" w:hanging="1700"/>
      </w:pPr>
      <w:rPr>
        <w:rFonts w:hint="eastAsia"/>
      </w:rPr>
    </w:lvl>
  </w:abstractNum>
  <w:abstractNum w:abstractNumId="11">
    <w:nsid w:val="074818AE"/>
    <w:multiLevelType w:val="multilevel"/>
    <w:tmpl w:val="074818AE"/>
    <w:lvl w:ilvl="0" w:tentative="0">
      <w:start w:val="1"/>
      <w:numFmt w:val="bullet"/>
      <w:pStyle w:val="936"/>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840"/>
        </w:tabs>
        <w:ind w:left="840" w:hanging="420"/>
      </w:pPr>
      <w:rPr>
        <w:rFonts w:hint="default"/>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09A66191"/>
    <w:multiLevelType w:val="multilevel"/>
    <w:tmpl w:val="09A66191"/>
    <w:lvl w:ilvl="0" w:tentative="0">
      <w:start w:val="1"/>
      <w:numFmt w:val="decimal"/>
      <w:lvlText w:val="%1)"/>
      <w:lvlJc w:val="left"/>
      <w:pPr>
        <w:tabs>
          <w:tab w:val="left" w:pos="900"/>
        </w:tabs>
        <w:ind w:left="90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pStyle w:val="833"/>
      <w:lvlText w:val="%9."/>
      <w:lvlJc w:val="right"/>
      <w:pPr>
        <w:tabs>
          <w:tab w:val="left" w:pos="3780"/>
        </w:tabs>
        <w:ind w:left="3780" w:hanging="420"/>
      </w:pPr>
    </w:lvl>
  </w:abstractNum>
  <w:abstractNum w:abstractNumId="13">
    <w:nsid w:val="09AB249A"/>
    <w:multiLevelType w:val="multilevel"/>
    <w:tmpl w:val="09AB249A"/>
    <w:lvl w:ilvl="0" w:tentative="0">
      <w:start w:val="1"/>
      <w:numFmt w:val="bullet"/>
      <w:pStyle w:val="1316"/>
      <w:lvlText w:val=""/>
      <w:lvlJc w:val="left"/>
      <w:pPr>
        <w:tabs>
          <w:tab w:val="left" w:pos="1407"/>
        </w:tabs>
        <w:ind w:left="1407" w:hanging="420"/>
      </w:pPr>
      <w:rPr>
        <w:rFonts w:hint="default" w:ascii="Wingdings" w:hAnsi="Wingdings"/>
      </w:rPr>
    </w:lvl>
    <w:lvl w:ilvl="1" w:tentative="0">
      <w:start w:val="1"/>
      <w:numFmt w:val="bullet"/>
      <w:lvlText w:val=""/>
      <w:lvlJc w:val="left"/>
      <w:pPr>
        <w:tabs>
          <w:tab w:val="left" w:pos="1827"/>
        </w:tabs>
        <w:ind w:left="1827" w:hanging="420"/>
      </w:pPr>
      <w:rPr>
        <w:rFonts w:hint="default" w:ascii="Wingdings" w:hAnsi="Wingdings"/>
      </w:rPr>
    </w:lvl>
    <w:lvl w:ilvl="2" w:tentative="0">
      <w:start w:val="1"/>
      <w:numFmt w:val="bullet"/>
      <w:lvlText w:val=""/>
      <w:lvlJc w:val="left"/>
      <w:pPr>
        <w:tabs>
          <w:tab w:val="left" w:pos="2247"/>
        </w:tabs>
        <w:ind w:left="2247" w:hanging="420"/>
      </w:pPr>
      <w:rPr>
        <w:rFonts w:hint="default" w:ascii="Wingdings" w:hAnsi="Wingdings"/>
      </w:rPr>
    </w:lvl>
    <w:lvl w:ilvl="3" w:tentative="0">
      <w:start w:val="1"/>
      <w:numFmt w:val="bullet"/>
      <w:lvlText w:val=""/>
      <w:lvlJc w:val="left"/>
      <w:pPr>
        <w:tabs>
          <w:tab w:val="left" w:pos="2667"/>
        </w:tabs>
        <w:ind w:left="2667" w:hanging="420"/>
      </w:pPr>
      <w:rPr>
        <w:rFonts w:hint="default" w:ascii="Wingdings" w:hAnsi="Wingdings"/>
      </w:rPr>
    </w:lvl>
    <w:lvl w:ilvl="4" w:tentative="0">
      <w:start w:val="1"/>
      <w:numFmt w:val="bullet"/>
      <w:lvlText w:val=""/>
      <w:lvlJc w:val="left"/>
      <w:pPr>
        <w:tabs>
          <w:tab w:val="left" w:pos="3087"/>
        </w:tabs>
        <w:ind w:left="3087" w:hanging="420"/>
      </w:pPr>
      <w:rPr>
        <w:rFonts w:hint="default" w:ascii="Wingdings" w:hAnsi="Wingdings"/>
      </w:rPr>
    </w:lvl>
    <w:lvl w:ilvl="5" w:tentative="0">
      <w:start w:val="1"/>
      <w:numFmt w:val="bullet"/>
      <w:lvlText w:val=""/>
      <w:lvlJc w:val="left"/>
      <w:pPr>
        <w:tabs>
          <w:tab w:val="left" w:pos="3507"/>
        </w:tabs>
        <w:ind w:left="3507" w:hanging="420"/>
      </w:pPr>
      <w:rPr>
        <w:rFonts w:hint="default" w:ascii="Wingdings" w:hAnsi="Wingdings"/>
      </w:rPr>
    </w:lvl>
    <w:lvl w:ilvl="6" w:tentative="0">
      <w:start w:val="1"/>
      <w:numFmt w:val="bullet"/>
      <w:lvlText w:val=""/>
      <w:lvlJc w:val="left"/>
      <w:pPr>
        <w:tabs>
          <w:tab w:val="left" w:pos="3927"/>
        </w:tabs>
        <w:ind w:left="3927" w:hanging="420"/>
      </w:pPr>
      <w:rPr>
        <w:rFonts w:hint="default" w:ascii="Wingdings" w:hAnsi="Wingdings"/>
      </w:rPr>
    </w:lvl>
    <w:lvl w:ilvl="7" w:tentative="0">
      <w:start w:val="1"/>
      <w:numFmt w:val="bullet"/>
      <w:lvlText w:val=""/>
      <w:lvlJc w:val="left"/>
      <w:pPr>
        <w:tabs>
          <w:tab w:val="left" w:pos="4347"/>
        </w:tabs>
        <w:ind w:left="4347" w:hanging="420"/>
      </w:pPr>
      <w:rPr>
        <w:rFonts w:hint="default" w:ascii="Wingdings" w:hAnsi="Wingdings"/>
      </w:rPr>
    </w:lvl>
    <w:lvl w:ilvl="8" w:tentative="0">
      <w:start w:val="1"/>
      <w:numFmt w:val="bullet"/>
      <w:lvlText w:val=""/>
      <w:lvlJc w:val="left"/>
      <w:pPr>
        <w:tabs>
          <w:tab w:val="left" w:pos="4767"/>
        </w:tabs>
        <w:ind w:left="4767" w:hanging="420"/>
      </w:pPr>
      <w:rPr>
        <w:rFonts w:hint="default" w:ascii="Wingdings" w:hAnsi="Wingdings"/>
      </w:rPr>
    </w:lvl>
  </w:abstractNum>
  <w:abstractNum w:abstractNumId="14">
    <w:nsid w:val="0AAF1077"/>
    <w:multiLevelType w:val="multilevel"/>
    <w:tmpl w:val="0AAF1077"/>
    <w:lvl w:ilvl="0" w:tentative="0">
      <w:start w:val="1"/>
      <w:numFmt w:val="decimal"/>
      <w:pStyle w:val="836"/>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BD10A26"/>
    <w:multiLevelType w:val="multilevel"/>
    <w:tmpl w:val="0BD10A26"/>
    <w:lvl w:ilvl="0" w:tentative="0">
      <w:start w:val="1"/>
      <w:numFmt w:val="bullet"/>
      <w:pStyle w:val="1163"/>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6">
    <w:nsid w:val="0E866CC4"/>
    <w:multiLevelType w:val="multilevel"/>
    <w:tmpl w:val="0E866CC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7">
    <w:nsid w:val="0E9358CB"/>
    <w:multiLevelType w:val="multilevel"/>
    <w:tmpl w:val="0E9358CB"/>
    <w:lvl w:ilvl="0" w:tentative="0">
      <w:start w:val="1"/>
      <w:numFmt w:val="bullet"/>
      <w:pStyle w:val="1335"/>
      <w:lvlText w:val=""/>
      <w:lvlJc w:val="left"/>
      <w:pPr>
        <w:tabs>
          <w:tab w:val="left" w:pos="1701"/>
        </w:tabs>
        <w:ind w:left="1701" w:hanging="1701"/>
      </w:pPr>
      <w:rPr>
        <w:rFonts w:hint="default" w:ascii="Wingdings" w:hAnsi="Wingdings"/>
        <w:b w:val="0"/>
        <w:i w:val="0"/>
        <w:sz w:val="52"/>
        <w:szCs w:val="5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8">
    <w:nsid w:val="0EB15B5D"/>
    <w:multiLevelType w:val="multilevel"/>
    <w:tmpl w:val="0EB15B5D"/>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19">
    <w:nsid w:val="0EDB2900"/>
    <w:multiLevelType w:val="multilevel"/>
    <w:tmpl w:val="0EDB2900"/>
    <w:lvl w:ilvl="0" w:tentative="0">
      <w:start w:val="1"/>
      <w:numFmt w:val="bullet"/>
      <w:lvlText w:val=""/>
      <w:lvlJc w:val="left"/>
      <w:pPr>
        <w:tabs>
          <w:tab w:val="left" w:pos="1265"/>
        </w:tabs>
        <w:ind w:left="1265" w:hanging="425"/>
      </w:pPr>
      <w:rPr>
        <w:rFonts w:hint="default" w:ascii="Wingdings" w:hAnsi="Wingdings"/>
        <w:sz w:val="24"/>
        <w:szCs w:val="24"/>
      </w:rPr>
    </w:lvl>
    <w:lvl w:ilvl="1" w:tentative="0">
      <w:start w:val="1"/>
      <w:numFmt w:val="ganada"/>
      <w:pStyle w:val="1739"/>
      <w:lvlText w:val=""/>
      <w:lvlJc w:val="left"/>
      <w:pPr>
        <w:tabs>
          <w:tab w:val="left" w:pos="1690"/>
        </w:tabs>
        <w:ind w:left="1690" w:hanging="425"/>
      </w:pPr>
      <w:rPr>
        <w:rFonts w:hint="default" w:ascii="Wingdings" w:hAnsi="Wingdings" w:cs="Wingdings"/>
        <w:sz w:val="16"/>
        <w:szCs w:val="16"/>
      </w:rPr>
    </w:lvl>
    <w:lvl w:ilvl="2" w:tentative="0">
      <w:start w:val="1"/>
      <w:numFmt w:val="bullet"/>
      <w:pStyle w:val="1740"/>
      <w:lvlText w:val="□"/>
      <w:lvlJc w:val="left"/>
      <w:pPr>
        <w:tabs>
          <w:tab w:val="left" w:pos="2115"/>
        </w:tabs>
        <w:ind w:left="2115" w:hanging="425"/>
      </w:pPr>
      <w:rPr>
        <w:rFonts w:hint="default" w:ascii="Wingdings" w:hAnsi="Wingdings" w:cs="Wingdings"/>
        <w:sz w:val="16"/>
        <w:szCs w:val="16"/>
      </w:rPr>
    </w:lvl>
    <w:lvl w:ilvl="3" w:tentative="0">
      <w:start w:val="1"/>
      <w:numFmt w:val="bullet"/>
      <w:lvlText w:val=""/>
      <w:lvlJc w:val="left"/>
      <w:pPr>
        <w:tabs>
          <w:tab w:val="left" w:pos="394"/>
        </w:tabs>
        <w:ind w:left="394" w:hanging="420"/>
      </w:pPr>
      <w:rPr>
        <w:rFonts w:hint="default" w:ascii="Wingdings" w:hAnsi="Wingdings" w:cs="Wingdings"/>
      </w:rPr>
    </w:lvl>
    <w:lvl w:ilvl="4" w:tentative="0">
      <w:start w:val="1"/>
      <w:numFmt w:val="bullet"/>
      <w:lvlText w:val=""/>
      <w:lvlJc w:val="left"/>
      <w:pPr>
        <w:tabs>
          <w:tab w:val="left" w:pos="814"/>
        </w:tabs>
        <w:ind w:left="814" w:hanging="420"/>
      </w:pPr>
      <w:rPr>
        <w:rFonts w:hint="default" w:ascii="Wingdings" w:hAnsi="Wingdings" w:cs="Wingdings"/>
      </w:rPr>
    </w:lvl>
    <w:lvl w:ilvl="5" w:tentative="0">
      <w:start w:val="1"/>
      <w:numFmt w:val="bullet"/>
      <w:lvlText w:val=""/>
      <w:lvlJc w:val="left"/>
      <w:pPr>
        <w:tabs>
          <w:tab w:val="left" w:pos="1234"/>
        </w:tabs>
        <w:ind w:left="1234" w:hanging="420"/>
      </w:pPr>
      <w:rPr>
        <w:rFonts w:hint="default" w:ascii="Wingdings" w:hAnsi="Wingdings" w:cs="Wingdings"/>
      </w:rPr>
    </w:lvl>
    <w:lvl w:ilvl="6" w:tentative="0">
      <w:start w:val="1"/>
      <w:numFmt w:val="bullet"/>
      <w:lvlText w:val=""/>
      <w:lvlJc w:val="left"/>
      <w:pPr>
        <w:tabs>
          <w:tab w:val="left" w:pos="1654"/>
        </w:tabs>
        <w:ind w:left="1654" w:hanging="420"/>
      </w:pPr>
      <w:rPr>
        <w:rFonts w:hint="default" w:ascii="Wingdings" w:hAnsi="Wingdings" w:cs="Wingdings"/>
      </w:rPr>
    </w:lvl>
    <w:lvl w:ilvl="7" w:tentative="0">
      <w:start w:val="1"/>
      <w:numFmt w:val="bullet"/>
      <w:lvlText w:val=""/>
      <w:lvlJc w:val="left"/>
      <w:pPr>
        <w:tabs>
          <w:tab w:val="left" w:pos="2074"/>
        </w:tabs>
        <w:ind w:left="2074" w:hanging="420"/>
      </w:pPr>
      <w:rPr>
        <w:rFonts w:hint="default" w:ascii="Wingdings" w:hAnsi="Wingdings" w:cs="Wingdings"/>
      </w:rPr>
    </w:lvl>
    <w:lvl w:ilvl="8" w:tentative="0">
      <w:start w:val="1"/>
      <w:numFmt w:val="bullet"/>
      <w:lvlText w:val=""/>
      <w:lvlJc w:val="left"/>
      <w:pPr>
        <w:tabs>
          <w:tab w:val="left" w:pos="2494"/>
        </w:tabs>
        <w:ind w:left="2494" w:hanging="420"/>
      </w:pPr>
      <w:rPr>
        <w:rFonts w:hint="default" w:ascii="Wingdings" w:hAnsi="Wingdings" w:cs="Wingdings"/>
      </w:rPr>
    </w:lvl>
  </w:abstractNum>
  <w:abstractNum w:abstractNumId="20">
    <w:nsid w:val="0F6A0E0F"/>
    <w:multiLevelType w:val="multilevel"/>
    <w:tmpl w:val="0F6A0E0F"/>
    <w:lvl w:ilvl="0" w:tentative="0">
      <w:start w:val="1"/>
      <w:numFmt w:val="bullet"/>
      <w:pStyle w:val="1450"/>
      <w:lvlText w:val=""/>
      <w:lvlJc w:val="left"/>
      <w:pPr>
        <w:tabs>
          <w:tab w:val="left" w:pos="704"/>
        </w:tabs>
        <w:ind w:left="704"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1">
    <w:nsid w:val="0FF309E2"/>
    <w:multiLevelType w:val="multilevel"/>
    <w:tmpl w:val="0FF309E2"/>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2">
    <w:nsid w:val="12B37E30"/>
    <w:multiLevelType w:val="multilevel"/>
    <w:tmpl w:val="12B37E30"/>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23">
    <w:nsid w:val="132F2B45"/>
    <w:multiLevelType w:val="multilevel"/>
    <w:tmpl w:val="132F2B45"/>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24">
    <w:nsid w:val="13A00CBE"/>
    <w:multiLevelType w:val="multilevel"/>
    <w:tmpl w:val="13A00CBE"/>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25">
    <w:nsid w:val="13B83F5B"/>
    <w:multiLevelType w:val="multilevel"/>
    <w:tmpl w:val="13B83F5B"/>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26">
    <w:nsid w:val="14384E1E"/>
    <w:multiLevelType w:val="multilevel"/>
    <w:tmpl w:val="14384E1E"/>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27">
    <w:nsid w:val="143A1A58"/>
    <w:multiLevelType w:val="multilevel"/>
    <w:tmpl w:val="143A1A58"/>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28">
    <w:nsid w:val="155E6AEC"/>
    <w:multiLevelType w:val="multilevel"/>
    <w:tmpl w:val="155E6AEC"/>
    <w:lvl w:ilvl="0" w:tentative="0">
      <w:start w:val="1"/>
      <w:numFmt w:val="decimal"/>
      <w:lvlText w:val="%1."/>
      <w:lvlJc w:val="left"/>
      <w:pPr>
        <w:tabs>
          <w:tab w:val="left" w:pos="1170"/>
        </w:tabs>
        <w:ind w:left="252" w:firstLine="558"/>
      </w:pPr>
      <w:rPr>
        <w:rFonts w:hint="default"/>
      </w:rPr>
    </w:lvl>
    <w:lvl w:ilvl="1" w:tentative="0">
      <w:start w:val="1"/>
      <w:numFmt w:val="decimal"/>
      <w:pStyle w:val="1182"/>
      <w:lvlText w:val="%1.%2."/>
      <w:lvlJc w:val="left"/>
      <w:pPr>
        <w:tabs>
          <w:tab w:val="left" w:pos="1701"/>
        </w:tabs>
        <w:ind w:left="1701" w:hanging="567"/>
      </w:pPr>
      <w:rPr>
        <w:rFonts w:hint="default"/>
      </w:rPr>
    </w:lvl>
    <w:lvl w:ilvl="2" w:tentative="0">
      <w:start w:val="1"/>
      <w:numFmt w:val="decimal"/>
      <w:lvlText w:val="%1.%2.%3."/>
      <w:lvlJc w:val="left"/>
      <w:pPr>
        <w:tabs>
          <w:tab w:val="left" w:pos="1116"/>
        </w:tabs>
        <w:ind w:left="1116" w:hanging="504"/>
      </w:pPr>
      <w:rPr>
        <w:rFonts w:hint="default"/>
      </w:rPr>
    </w:lvl>
    <w:lvl w:ilvl="3" w:tentative="0">
      <w:start w:val="1"/>
      <w:numFmt w:val="decimal"/>
      <w:lvlText w:val="%1.%2.%3.%4."/>
      <w:lvlJc w:val="left"/>
      <w:pPr>
        <w:tabs>
          <w:tab w:val="left" w:pos="1692"/>
        </w:tabs>
        <w:ind w:left="1620" w:hanging="648"/>
      </w:pPr>
      <w:rPr>
        <w:rFonts w:hint="default"/>
      </w:rPr>
    </w:lvl>
    <w:lvl w:ilvl="4" w:tentative="0">
      <w:start w:val="1"/>
      <w:numFmt w:val="decimal"/>
      <w:lvlText w:val="%1.%2.%3.%4.%5."/>
      <w:lvlJc w:val="left"/>
      <w:pPr>
        <w:tabs>
          <w:tab w:val="left" w:pos="2412"/>
        </w:tabs>
        <w:ind w:left="2124" w:hanging="792"/>
      </w:pPr>
      <w:rPr>
        <w:rFonts w:hint="default"/>
      </w:rPr>
    </w:lvl>
    <w:lvl w:ilvl="5" w:tentative="0">
      <w:start w:val="1"/>
      <w:numFmt w:val="decimal"/>
      <w:lvlText w:val="%1.%2.%3.%4.%5.%6."/>
      <w:lvlJc w:val="left"/>
      <w:pPr>
        <w:tabs>
          <w:tab w:val="left" w:pos="3132"/>
        </w:tabs>
        <w:ind w:left="2628" w:hanging="936"/>
      </w:pPr>
      <w:rPr>
        <w:rFonts w:hint="default"/>
      </w:rPr>
    </w:lvl>
    <w:lvl w:ilvl="6" w:tentative="0">
      <w:start w:val="1"/>
      <w:numFmt w:val="decimal"/>
      <w:lvlText w:val="%1.%2.%3.%4.%5.%6.%7."/>
      <w:lvlJc w:val="left"/>
      <w:pPr>
        <w:tabs>
          <w:tab w:val="left" w:pos="3492"/>
        </w:tabs>
        <w:ind w:left="3132" w:hanging="1080"/>
      </w:pPr>
      <w:rPr>
        <w:rFonts w:hint="default"/>
      </w:rPr>
    </w:lvl>
    <w:lvl w:ilvl="7" w:tentative="0">
      <w:start w:val="1"/>
      <w:numFmt w:val="decimal"/>
      <w:lvlText w:val="%1.%2.%3.%4.%5.%6.%7.%8."/>
      <w:lvlJc w:val="left"/>
      <w:pPr>
        <w:tabs>
          <w:tab w:val="left" w:pos="4212"/>
        </w:tabs>
        <w:ind w:left="3636" w:hanging="1224"/>
      </w:pPr>
      <w:rPr>
        <w:rFonts w:hint="default"/>
      </w:rPr>
    </w:lvl>
    <w:lvl w:ilvl="8" w:tentative="0">
      <w:start w:val="1"/>
      <w:numFmt w:val="decimal"/>
      <w:lvlText w:val="%1.%2.%3.%4.%5.%6.%7.%8.%9."/>
      <w:lvlJc w:val="left"/>
      <w:pPr>
        <w:tabs>
          <w:tab w:val="left" w:pos="4572"/>
        </w:tabs>
        <w:ind w:left="4212" w:hanging="1440"/>
      </w:pPr>
      <w:rPr>
        <w:rFonts w:hint="default"/>
      </w:rPr>
    </w:lvl>
  </w:abstractNum>
  <w:abstractNum w:abstractNumId="29">
    <w:nsid w:val="15D41C24"/>
    <w:multiLevelType w:val="multilevel"/>
    <w:tmpl w:val="15D41C24"/>
    <w:lvl w:ilvl="0" w:tentative="0">
      <w:start w:val="1"/>
      <w:numFmt w:val="bullet"/>
      <w:pStyle w:val="610"/>
      <w:lvlText w:val=""/>
      <w:lvlJc w:val="left"/>
      <w:pPr>
        <w:tabs>
          <w:tab w:val="left" w:pos="710"/>
        </w:tabs>
        <w:ind w:left="960" w:hanging="25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0">
    <w:nsid w:val="16016661"/>
    <w:multiLevelType w:val="multilevel"/>
    <w:tmpl w:val="16016661"/>
    <w:lvl w:ilvl="0" w:tentative="0">
      <w:start w:val="1"/>
      <w:numFmt w:val="decimal"/>
      <w:pStyle w:val="842"/>
      <w:lvlText w:val="%1)"/>
      <w:lvlJc w:val="left"/>
      <w:pPr>
        <w:tabs>
          <w:tab w:val="left" w:pos="420"/>
        </w:tabs>
        <w:ind w:left="420" w:hanging="420"/>
      </w:p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1">
    <w:nsid w:val="164766DA"/>
    <w:multiLevelType w:val="multilevel"/>
    <w:tmpl w:val="164766D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32">
    <w:nsid w:val="16BD7A50"/>
    <w:multiLevelType w:val="multilevel"/>
    <w:tmpl w:val="16BD7A50"/>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33">
    <w:nsid w:val="16EC1D0D"/>
    <w:multiLevelType w:val="multilevel"/>
    <w:tmpl w:val="16EC1D0D"/>
    <w:lvl w:ilvl="0" w:tentative="0">
      <w:start w:val="1"/>
      <w:numFmt w:val="bullet"/>
      <w:pStyle w:val="1273"/>
      <w:lvlText w:val=""/>
      <w:lvlJc w:val="left"/>
      <w:pPr>
        <w:tabs>
          <w:tab w:val="left" w:pos="1701"/>
        </w:tabs>
        <w:ind w:left="1701" w:hanging="1701"/>
      </w:pPr>
      <w:rPr>
        <w:rFonts w:hint="default" w:ascii="Wingdings" w:hAnsi="Wingdings"/>
        <w:b w:val="0"/>
        <w:i w:val="0"/>
        <w:sz w:val="52"/>
        <w:szCs w:val="5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4">
    <w:nsid w:val="170967DA"/>
    <w:multiLevelType w:val="multilevel"/>
    <w:tmpl w:val="170967DA"/>
    <w:lvl w:ilvl="0" w:tentative="0">
      <w:start w:val="1"/>
      <w:numFmt w:val="decimal"/>
      <w:lvlText w:val="（%1）"/>
      <w:lvlJc w:val="left"/>
      <w:pPr>
        <w:ind w:left="920" w:hanging="440"/>
      </w:pPr>
      <w:rPr>
        <w:rFonts w:hint="eastAsia"/>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35">
    <w:nsid w:val="171657A1"/>
    <w:multiLevelType w:val="multilevel"/>
    <w:tmpl w:val="171657A1"/>
    <w:lvl w:ilvl="0" w:tentative="0">
      <w:start w:val="1"/>
      <w:numFmt w:val="decimal"/>
      <w:suff w:val="nothing"/>
      <w:lvlText w:val="%1 "/>
      <w:lvlJc w:val="left"/>
      <w:pPr>
        <w:ind w:left="9214" w:firstLine="0"/>
      </w:pPr>
      <w:rPr>
        <w:rFonts w:hint="default" w:ascii="Book Antiqua" w:hAnsi="Book Antiqua" w:eastAsia="黑体" w:cs="Book Antiqua"/>
        <w:b/>
        <w:bCs/>
        <w:i w:val="0"/>
        <w:iCs w:val="0"/>
        <w:caps w:val="0"/>
        <w:strike w:val="0"/>
        <w:dstrike w:val="0"/>
        <w:vanish w:val="0"/>
        <w:color w:val="000000"/>
        <w:sz w:val="144"/>
        <w:szCs w:val="144"/>
        <w:vertAlign w:val="baseline"/>
      </w:rPr>
    </w:lvl>
    <w:lvl w:ilvl="1" w:tentative="0">
      <w:start w:val="1"/>
      <w:numFmt w:val="decimal"/>
      <w:suff w:val="nothing"/>
      <w:lvlText w:val="%1.%2 "/>
      <w:lvlJc w:val="left"/>
      <w:pPr>
        <w:ind w:left="141"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2" w:tentative="0">
      <w:start w:val="1"/>
      <w:numFmt w:val="decimal"/>
      <w:suff w:val="nothing"/>
      <w:lvlText w:val="%1.%2.%3 "/>
      <w:lvlJc w:val="left"/>
      <w:pPr>
        <w:ind w:left="1842"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3" w:tentative="0">
      <w:start w:val="1"/>
      <w:numFmt w:val="none"/>
      <w:lvlRestart w:val="0"/>
      <w:pStyle w:val="352"/>
      <w:suff w:val="nothing"/>
      <w:lvlText w:val=""/>
      <w:lvlJc w:val="left"/>
      <w:pPr>
        <w:ind w:left="3827" w:firstLine="0"/>
      </w:pPr>
      <w:rPr>
        <w:rFonts w:hint="default" w:ascii="Arial" w:hAnsi="Arial" w:cs="Arial"/>
        <w:b/>
        <w:bCs/>
        <w:i w:val="0"/>
        <w:iCs w:val="0"/>
        <w:caps w:val="0"/>
        <w:strike w:val="0"/>
        <w:dstrike w:val="0"/>
        <w:vanish w:val="0"/>
        <w:color w:val="000000"/>
        <w:sz w:val="20"/>
        <w:szCs w:val="20"/>
        <w:vertAlign w:val="baseline"/>
      </w:rPr>
    </w:lvl>
    <w:lvl w:ilvl="4" w:tentative="0">
      <w:start w:val="1"/>
      <w:numFmt w:val="upperRoman"/>
      <w:suff w:val="nothing"/>
      <w:lvlText w:val="%5. "/>
      <w:lvlJc w:val="left"/>
      <w:pPr>
        <w:ind w:left="5529" w:hanging="227"/>
      </w:pPr>
      <w:rPr>
        <w:rFonts w:hint="default" w:ascii="Times New Roman" w:hAnsi="Times New Roman" w:eastAsia="黑体" w:cs="Times New Roman"/>
        <w:b/>
        <w:bCs/>
        <w:i w:val="0"/>
        <w:iCs w:val="0"/>
        <w:sz w:val="24"/>
        <w:szCs w:val="24"/>
        <w:u w:val="none"/>
      </w:rPr>
    </w:lvl>
    <w:lvl w:ilvl="5" w:tentative="0">
      <w:start w:val="1"/>
      <w:numFmt w:val="bullet"/>
      <w:lvlText w:val=""/>
      <w:lvlJc w:val="left"/>
      <w:pPr>
        <w:tabs>
          <w:tab w:val="left" w:pos="5528"/>
        </w:tabs>
        <w:ind w:left="5528" w:hanging="159"/>
      </w:pPr>
      <w:rPr>
        <w:rFonts w:hint="default" w:ascii="Wingdings" w:hAnsi="Wingdings"/>
        <w:b w:val="0"/>
        <w:bCs/>
        <w:i w:val="0"/>
        <w:iCs w:val="0"/>
        <w:color w:val="auto"/>
        <w:sz w:val="21"/>
        <w:szCs w:val="21"/>
      </w:rPr>
    </w:lvl>
    <w:lvl w:ilvl="6" w:tentative="0">
      <w:start w:val="1"/>
      <w:numFmt w:val="lowerLetter"/>
      <w:lvlText w:val="%7."/>
      <w:lvlJc w:val="left"/>
      <w:pPr>
        <w:tabs>
          <w:tab w:val="left" w:pos="5953"/>
        </w:tabs>
        <w:ind w:left="5953" w:hanging="425"/>
      </w:pPr>
      <w:rPr>
        <w:rFonts w:hint="default" w:ascii="Times New Roman" w:hAnsi="Times New Roman" w:cs="Book Antiqua"/>
        <w:b w:val="0"/>
        <w:bCs/>
        <w:i w:val="0"/>
        <w:iCs w:val="0"/>
        <w:sz w:val="21"/>
        <w:szCs w:val="21"/>
        <w:u w:val="none"/>
      </w:rPr>
    </w:lvl>
    <w:lvl w:ilvl="7" w:tentative="0">
      <w:start w:val="1"/>
      <w:numFmt w:val="decimal"/>
      <w:lvlRestart w:val="1"/>
      <w:pStyle w:val="346"/>
      <w:suff w:val="space"/>
      <w:lvlText w:val="图%1-%8"/>
      <w:lvlJc w:val="left"/>
      <w:pPr>
        <w:ind w:left="1985" w:firstLine="0"/>
      </w:pPr>
      <w:rPr>
        <w:rFonts w:cs="Times New Roman"/>
        <w:i w:val="0"/>
        <w:iCs w:val="0"/>
        <w:caps w:val="0"/>
        <w:smallCaps w:val="0"/>
        <w:strike w:val="0"/>
        <w:dstrike w:val="0"/>
        <w:vanish w:val="0"/>
        <w:color w:val="000000"/>
        <w:spacing w:val="0"/>
        <w:position w:val="0"/>
        <w:u w:val="none"/>
        <w:vertAlign w:val="baseline"/>
      </w:rPr>
    </w:lvl>
    <w:lvl w:ilvl="8" w:tentative="0">
      <w:start w:val="1"/>
      <w:numFmt w:val="decimal"/>
      <w:lvlRestart w:val="1"/>
      <w:pStyle w:val="347"/>
      <w:suff w:val="space"/>
      <w:lvlText w:val="表%1-%9"/>
      <w:lvlJc w:val="left"/>
      <w:pPr>
        <w:ind w:left="1842" w:firstLine="0"/>
      </w:pPr>
      <w:rPr>
        <w:rFonts w:hint="default" w:ascii="Times New Roman" w:hAnsi="Times New Roman" w:eastAsia="黑体"/>
        <w:b w:val="0"/>
        <w:bCs/>
        <w:i w:val="0"/>
        <w:iCs w:val="0"/>
        <w:color w:val="auto"/>
        <w:sz w:val="21"/>
        <w:szCs w:val="21"/>
        <w:lang w:val="en-US"/>
      </w:rPr>
    </w:lvl>
  </w:abstractNum>
  <w:abstractNum w:abstractNumId="36">
    <w:nsid w:val="171F487C"/>
    <w:multiLevelType w:val="multilevel"/>
    <w:tmpl w:val="171F487C"/>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37">
    <w:nsid w:val="175146B2"/>
    <w:multiLevelType w:val="multilevel"/>
    <w:tmpl w:val="175146B2"/>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38">
    <w:nsid w:val="17EE3AFF"/>
    <w:multiLevelType w:val="multilevel"/>
    <w:tmpl w:val="17EE3AFF"/>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39">
    <w:nsid w:val="18BB794E"/>
    <w:multiLevelType w:val="multilevel"/>
    <w:tmpl w:val="18BB794E"/>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0">
    <w:nsid w:val="1C64579F"/>
    <w:multiLevelType w:val="multilevel"/>
    <w:tmpl w:val="1C64579F"/>
    <w:lvl w:ilvl="0" w:tentative="0">
      <w:start w:val="1"/>
      <w:numFmt w:val="decimal"/>
      <w:pStyle w:val="3"/>
      <w:lvlText w:val="%1"/>
      <w:lvlJc w:val="left"/>
      <w:pPr>
        <w:ind w:left="432" w:hanging="432"/>
      </w:pPr>
      <w:rPr>
        <w:rFonts w:hint="eastAsia"/>
      </w:rPr>
    </w:lvl>
    <w:lvl w:ilvl="1" w:tentative="0">
      <w:start w:val="1"/>
      <w:numFmt w:val="decimal"/>
      <w:pStyle w:val="4"/>
      <w:suff w:val="space"/>
      <w:lvlText w:val="%1.%2"/>
      <w:lvlJc w:val="left"/>
      <w:pPr>
        <w:ind w:left="0" w:firstLine="0"/>
      </w:pPr>
      <w:rPr>
        <w:rFonts w:hint="default"/>
      </w:rPr>
    </w:lvl>
    <w:lvl w:ilvl="2" w:tentative="0">
      <w:start w:val="1"/>
      <w:numFmt w:val="decimal"/>
      <w:pStyle w:val="5"/>
      <w:suff w:val="space"/>
      <w:lvlText w:val="%1.%2.%3"/>
      <w:lvlJc w:val="left"/>
      <w:pPr>
        <w:ind w:left="0" w:firstLine="0"/>
      </w:pPr>
      <w:rPr>
        <w:rFonts w:hint="eastAsia"/>
      </w:rPr>
    </w:lvl>
    <w:lvl w:ilvl="3" w:tentative="0">
      <w:start w:val="1"/>
      <w:numFmt w:val="decimal"/>
      <w:pStyle w:val="6"/>
      <w:suff w:val="space"/>
      <w:lvlText w:val="%1.%2.%3.%4"/>
      <w:lvlJc w:val="left"/>
      <w:pPr>
        <w:ind w:left="0" w:firstLine="0"/>
      </w:pPr>
      <w:rPr>
        <w:rFonts w:hint="eastAsia"/>
      </w:rPr>
    </w:lvl>
    <w:lvl w:ilvl="4" w:tentative="0">
      <w:start w:val="1"/>
      <w:numFmt w:val="decimal"/>
      <w:pStyle w:val="7"/>
      <w:suff w:val="space"/>
      <w:lvlText w:val="%1.%2.%3.%4.%5"/>
      <w:lvlJc w:val="left"/>
      <w:pPr>
        <w:ind w:left="0" w:firstLine="0"/>
      </w:pPr>
      <w:rPr>
        <w:rFonts w:hint="eastAsia"/>
      </w:rPr>
    </w:lvl>
    <w:lvl w:ilvl="5" w:tentative="0">
      <w:start w:val="1"/>
      <w:numFmt w:val="decimal"/>
      <w:pStyle w:val="8"/>
      <w:suff w:val="space"/>
      <w:lvlText w:val="%1.%2.%3.%4.%5.%6"/>
      <w:lvlJc w:val="left"/>
      <w:pPr>
        <w:ind w:left="0" w:firstLine="0"/>
      </w:pPr>
      <w:rPr>
        <w:rFonts w:hint="eastAsia"/>
        <w:lang w:val="en-US"/>
      </w:rPr>
    </w:lvl>
    <w:lvl w:ilvl="6" w:tentative="0">
      <w:start w:val="1"/>
      <w:numFmt w:val="chineseCountingThousand"/>
      <w:lvlRestart w:val="0"/>
      <w:pStyle w:val="9"/>
      <w:suff w:val="nothing"/>
      <w:lvlText w:val="%7、"/>
      <w:lvlJc w:val="left"/>
      <w:pPr>
        <w:ind w:left="0" w:firstLine="0"/>
      </w:pPr>
      <w:rPr>
        <w:rFonts w:hint="eastAsia"/>
        <w:lang w:val="en-US"/>
      </w:rPr>
    </w:lvl>
    <w:lvl w:ilvl="7" w:tentative="0">
      <w:start w:val="1"/>
      <w:numFmt w:val="decimal"/>
      <w:lvlRestart w:val="1"/>
      <w:pStyle w:val="10"/>
      <w:suff w:val="space"/>
      <w:lvlText w:val="图%1-%8"/>
      <w:lvlJc w:val="left"/>
      <w:pPr>
        <w:ind w:left="0" w:firstLine="0"/>
      </w:pPr>
      <w:rPr>
        <w:rFonts w:hint="eastAsia"/>
      </w:rPr>
    </w:lvl>
    <w:lvl w:ilvl="8" w:tentative="0">
      <w:start w:val="1"/>
      <w:numFmt w:val="decimal"/>
      <w:lvlRestart w:val="1"/>
      <w:pStyle w:val="11"/>
      <w:suff w:val="space"/>
      <w:lvlText w:val="表%1-%9"/>
      <w:lvlJc w:val="left"/>
      <w:pPr>
        <w:ind w:left="0" w:firstLine="0"/>
      </w:pPr>
      <w:rPr>
        <w:rFonts w:hint="eastAsia"/>
        <w:lang w:val="en-US"/>
      </w:rPr>
    </w:lvl>
  </w:abstractNum>
  <w:abstractNum w:abstractNumId="41">
    <w:nsid w:val="1D2F48D5"/>
    <w:multiLevelType w:val="multilevel"/>
    <w:tmpl w:val="1D2F48D5"/>
    <w:lvl w:ilvl="0" w:tentative="0">
      <w:start w:val="1"/>
      <w:numFmt w:val="decimal"/>
      <w:pStyle w:val="364"/>
      <w:lvlText w:val="图%1"/>
      <w:lvlJc w:val="left"/>
      <w:pPr>
        <w:ind w:left="1413" w:hanging="420"/>
      </w:pPr>
      <w:rPr>
        <w:rFonts w:cs="Times New Roman"/>
        <w:b w:val="0"/>
        <w:bCs w:val="0"/>
        <w:i w:val="0"/>
        <w:iCs w:val="0"/>
        <w:caps w:val="0"/>
        <w:smallCaps w:val="0"/>
        <w:strike w:val="0"/>
        <w:dstrike w:val="0"/>
        <w:vanish w:val="0"/>
        <w:color w:val="000000"/>
        <w:spacing w:val="0"/>
        <w:position w:val="0"/>
        <w:u w:val="none"/>
        <w:vertAlign w:val="baseli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1D5755D3"/>
    <w:multiLevelType w:val="multilevel"/>
    <w:tmpl w:val="1D5755D3"/>
    <w:lvl w:ilvl="0" w:tentative="0">
      <w:start w:val="1"/>
      <w:numFmt w:val="bullet"/>
      <w:pStyle w:val="350"/>
      <w:lvlText w:val=""/>
      <w:lvlJc w:val="left"/>
      <w:pPr>
        <w:tabs>
          <w:tab w:val="left" w:pos="2126"/>
        </w:tabs>
        <w:ind w:left="2126" w:hanging="425"/>
      </w:pPr>
      <w:rPr>
        <w:rFonts w:hint="default" w:ascii="Wingdings" w:hAnsi="Wingdings" w:cs="Wingdings"/>
        <w:b w:val="0"/>
        <w:bCs w:val="0"/>
        <w:i w:val="0"/>
        <w:iCs w:val="0"/>
        <w:caps w:val="0"/>
        <w:strike w:val="0"/>
        <w:dstrike w:val="0"/>
        <w:vanish w:val="0"/>
        <w:color w:val="000000"/>
        <w:spacing w:val="0"/>
        <w:w w:val="100"/>
        <w:position w:val="2"/>
        <w:sz w:val="16"/>
        <w:szCs w:val="16"/>
        <w:vertAlign w:val="baseli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3">
    <w:nsid w:val="1DE217C8"/>
    <w:multiLevelType w:val="multilevel"/>
    <w:tmpl w:val="1DE217C8"/>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44">
    <w:nsid w:val="1DFA283A"/>
    <w:multiLevelType w:val="multilevel"/>
    <w:tmpl w:val="1DFA283A"/>
    <w:lvl w:ilvl="0" w:tentative="0">
      <w:start w:val="1"/>
      <w:numFmt w:val="decimal"/>
      <w:pStyle w:val="337"/>
      <w:suff w:val="space"/>
      <w:lvlText w:val="第%1章"/>
      <w:lvlJc w:val="left"/>
      <w:pPr>
        <w:ind w:left="1230" w:firstLine="0"/>
      </w:pPr>
      <w:rPr>
        <w:rFonts w:hint="eastAsia" w:ascii="宋体" w:hAnsi="宋体" w:eastAsia="宋体" w:cs="Times New Roman"/>
        <w:color w:val="auto"/>
      </w:rPr>
    </w:lvl>
    <w:lvl w:ilvl="1" w:tentative="0">
      <w:start w:val="1"/>
      <w:numFmt w:val="decimal"/>
      <w:pStyle w:val="338"/>
      <w:suff w:val="space"/>
      <w:lvlText w:val="%1.%2"/>
      <w:lvlJc w:val="left"/>
      <w:pPr>
        <w:ind w:left="0" w:firstLine="0"/>
      </w:pPr>
      <w:rPr>
        <w:rFonts w:hint="eastAsia" w:ascii="宋体" w:hAnsi="宋体" w:eastAsia="宋体"/>
      </w:rPr>
    </w:lvl>
    <w:lvl w:ilvl="2" w:tentative="0">
      <w:start w:val="1"/>
      <w:numFmt w:val="decimal"/>
      <w:pStyle w:val="339"/>
      <w:suff w:val="space"/>
      <w:lvlText w:val="%1.%2.%3"/>
      <w:lvlJc w:val="left"/>
      <w:pPr>
        <w:ind w:left="0" w:firstLine="0"/>
      </w:pPr>
      <w:rPr>
        <w:rFonts w:hint="eastAsia" w:ascii="宋体" w:hAnsi="宋体" w:eastAsia="宋体"/>
      </w:rPr>
    </w:lvl>
    <w:lvl w:ilvl="3" w:tentative="0">
      <w:start w:val="1"/>
      <w:numFmt w:val="decimal"/>
      <w:pStyle w:val="340"/>
      <w:suff w:val="space"/>
      <w:lvlText w:val="%1.%2.%3.%4"/>
      <w:lvlJc w:val="left"/>
      <w:pPr>
        <w:ind w:left="1560" w:firstLine="0"/>
      </w:pPr>
      <w:rPr>
        <w:rFonts w:hint="eastAsia" w:ascii="宋体" w:hAnsi="宋体" w:eastAsia="宋体"/>
      </w:rPr>
    </w:lvl>
    <w:lvl w:ilvl="4" w:tentative="0">
      <w:start w:val="1"/>
      <w:numFmt w:val="decimal"/>
      <w:suff w:val="space"/>
      <w:lvlText w:val="%1.%2.%3.%4.%5"/>
      <w:lvlJc w:val="left"/>
      <w:pPr>
        <w:ind w:left="0" w:firstLine="0"/>
      </w:pPr>
      <w:rPr>
        <w:rFonts w:hint="eastAsia" w:ascii="宋体" w:hAnsi="宋体" w:eastAsia="宋体"/>
      </w:rPr>
    </w:lvl>
    <w:lvl w:ilvl="5" w:tentative="0">
      <w:start w:val="11"/>
      <w:numFmt w:val="bullet"/>
      <w:lvlText w:val="▲"/>
      <w:lvlJc w:val="left"/>
      <w:pPr>
        <w:ind w:left="360" w:hanging="360"/>
      </w:pPr>
      <w:rPr>
        <w:rFonts w:hint="eastAsia" w:ascii="微软雅黑" w:hAnsi="微软雅黑" w:eastAsia="微软雅黑" w:cs="微软雅黑"/>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45">
    <w:nsid w:val="1E20675F"/>
    <w:multiLevelType w:val="multilevel"/>
    <w:tmpl w:val="1E20675F"/>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46">
    <w:nsid w:val="1E345715"/>
    <w:multiLevelType w:val="multilevel"/>
    <w:tmpl w:val="1E345715"/>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7">
    <w:nsid w:val="1E6C5912"/>
    <w:multiLevelType w:val="multilevel"/>
    <w:tmpl w:val="1E6C5912"/>
    <w:lvl w:ilvl="0" w:tentative="0">
      <w:start w:val="1"/>
      <w:numFmt w:val="decimal"/>
      <w:suff w:val="nothing"/>
      <w:lvlText w:val="%1、"/>
      <w:lvlJc w:val="left"/>
      <w:pPr>
        <w:ind w:left="0" w:firstLine="0"/>
      </w:pPr>
      <w:rPr>
        <w:rFonts w:hint="eastAsia"/>
      </w:rPr>
    </w:lvl>
    <w:lvl w:ilvl="1" w:tentative="0">
      <w:start w:val="1"/>
      <w:numFmt w:val="decimal"/>
      <w:lvlText w:val="（%2）"/>
      <w:lvlJc w:val="left"/>
      <w:pPr>
        <w:ind w:left="1485" w:hanging="1065"/>
      </w:pPr>
      <w:rPr>
        <w:rFonts w:cs="Times New Roman"/>
        <w:lang w:val="en-US"/>
      </w:rPr>
    </w:lvl>
    <w:lvl w:ilvl="2" w:tentative="0">
      <w:start w:val="1"/>
      <w:numFmt w:val="decimal"/>
      <w:lvlText w:val="%3、"/>
      <w:lvlJc w:val="left"/>
      <w:pPr>
        <w:ind w:left="1560" w:hanging="7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8">
    <w:nsid w:val="1FD97499"/>
    <w:multiLevelType w:val="multilevel"/>
    <w:tmpl w:val="1FD97499"/>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9">
    <w:nsid w:val="20372133"/>
    <w:multiLevelType w:val="multilevel"/>
    <w:tmpl w:val="20372133"/>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0">
    <w:nsid w:val="22927CC4"/>
    <w:multiLevelType w:val="multilevel"/>
    <w:tmpl w:val="22927CC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1">
    <w:nsid w:val="24C37B93"/>
    <w:multiLevelType w:val="multilevel"/>
    <w:tmpl w:val="24C37B93"/>
    <w:lvl w:ilvl="0" w:tentative="0">
      <w:start w:val="1"/>
      <w:numFmt w:val="bullet"/>
      <w:lvlText w:val=""/>
      <w:lvlJc w:val="left"/>
      <w:pPr>
        <w:ind w:left="900" w:hanging="418"/>
      </w:pPr>
      <w:rPr>
        <w:rFonts w:hint="default" w:ascii="Wingdings" w:hAnsi="Wingdings"/>
      </w:rPr>
    </w:lvl>
    <w:lvl w:ilvl="1" w:tentative="0">
      <w:start w:val="1"/>
      <w:numFmt w:val="decimal"/>
      <w:lvlText w:val="%2."/>
      <w:lvlJc w:val="left"/>
      <w:pPr>
        <w:tabs>
          <w:tab w:val="left" w:pos="964"/>
        </w:tabs>
        <w:ind w:left="840" w:firstLine="124"/>
      </w:pPr>
      <w:rPr>
        <w:rFonts w:hint="eastAsia"/>
      </w:rPr>
    </w:lvl>
    <w:lvl w:ilvl="2" w:tentative="0">
      <w:start w:val="1"/>
      <w:numFmt w:val="decimal"/>
      <w:suff w:val="nothing"/>
      <w:lvlText w:val="%3)"/>
      <w:lvlJc w:val="left"/>
      <w:pPr>
        <w:ind w:left="1260" w:firstLine="214"/>
      </w:pPr>
      <w:rPr>
        <w:rFonts w:hint="eastAsia"/>
      </w:rPr>
    </w:lvl>
    <w:lvl w:ilvl="3" w:tentative="0">
      <w:start w:val="1"/>
      <w:numFmt w:val="decimal"/>
      <w:lvlText w:val="%4."/>
      <w:lvlJc w:val="left"/>
      <w:pPr>
        <w:ind w:left="1680" w:hanging="421"/>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52">
    <w:nsid w:val="268C07C0"/>
    <w:multiLevelType w:val="multilevel"/>
    <w:tmpl w:val="268C07C0"/>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3">
    <w:nsid w:val="274C56D4"/>
    <w:multiLevelType w:val="multilevel"/>
    <w:tmpl w:val="274C56D4"/>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54">
    <w:nsid w:val="274D6D62"/>
    <w:multiLevelType w:val="multilevel"/>
    <w:tmpl w:val="274D6D62"/>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5">
    <w:nsid w:val="285033E9"/>
    <w:multiLevelType w:val="multilevel"/>
    <w:tmpl w:val="285033E9"/>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6">
    <w:nsid w:val="2CA31B26"/>
    <w:multiLevelType w:val="multilevel"/>
    <w:tmpl w:val="2CA31B26"/>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7">
    <w:nsid w:val="2F6F7DE5"/>
    <w:multiLevelType w:val="multilevel"/>
    <w:tmpl w:val="2F6F7DE5"/>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58">
    <w:nsid w:val="2FDB2F02"/>
    <w:multiLevelType w:val="multilevel"/>
    <w:tmpl w:val="2FDB2F02"/>
    <w:lvl w:ilvl="0" w:tentative="0">
      <w:start w:val="1"/>
      <w:numFmt w:val="bullet"/>
      <w:pStyle w:val="905"/>
      <w:lvlText w:val=""/>
      <w:lvlJc w:val="left"/>
      <w:pPr>
        <w:tabs>
          <w:tab w:val="left" w:pos="482"/>
        </w:tabs>
        <w:ind w:left="794" w:hanging="31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9">
    <w:nsid w:val="30003680"/>
    <w:multiLevelType w:val="multilevel"/>
    <w:tmpl w:val="30003680"/>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60">
    <w:nsid w:val="3146156C"/>
    <w:multiLevelType w:val="multilevel"/>
    <w:tmpl w:val="3146156C"/>
    <w:lvl w:ilvl="0" w:tentative="0">
      <w:start w:val="1"/>
      <w:numFmt w:val="decimal"/>
      <w:pStyle w:val="1259"/>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61">
    <w:nsid w:val="3187571C"/>
    <w:multiLevelType w:val="multilevel"/>
    <w:tmpl w:val="3187571C"/>
    <w:lvl w:ilvl="0" w:tentative="0">
      <w:start w:val="1"/>
      <w:numFmt w:val="decimal"/>
      <w:pStyle w:val="35"/>
      <w:lvlText w:val="%1)"/>
      <w:lvlJc w:val="left"/>
      <w:pPr>
        <w:tabs>
          <w:tab w:val="left" w:pos="900"/>
        </w:tabs>
        <w:ind w:left="90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2">
    <w:nsid w:val="31C20F9D"/>
    <w:multiLevelType w:val="multilevel"/>
    <w:tmpl w:val="31C20F9D"/>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63">
    <w:nsid w:val="326F7D28"/>
    <w:multiLevelType w:val="multilevel"/>
    <w:tmpl w:val="326F7D28"/>
    <w:lvl w:ilvl="0" w:tentative="0">
      <w:start w:val="1"/>
      <w:numFmt w:val="bullet"/>
      <w:pStyle w:val="1183"/>
      <w:lvlText w:val=""/>
      <w:lvlJc w:val="left"/>
      <w:pPr>
        <w:tabs>
          <w:tab w:val="left" w:pos="1080"/>
        </w:tabs>
        <w:ind w:left="1080" w:hanging="360"/>
      </w:pPr>
      <w:rPr>
        <w:rFonts w:hint="default" w:ascii="Symbol" w:hAnsi="Symbol"/>
      </w:rPr>
    </w:lvl>
    <w:lvl w:ilvl="1" w:tentative="0">
      <w:start w:val="1"/>
      <w:numFmt w:val="bullet"/>
      <w:lvlText w:val="o"/>
      <w:lvlJc w:val="left"/>
      <w:pPr>
        <w:tabs>
          <w:tab w:val="left" w:pos="1800"/>
        </w:tabs>
        <w:ind w:left="1800" w:hanging="360"/>
      </w:pPr>
      <w:rPr>
        <w:rFonts w:hint="default" w:ascii="Courier New" w:hAnsi="Courier New"/>
      </w:rPr>
    </w:lvl>
    <w:lvl w:ilvl="2" w:tentative="0">
      <w:start w:val="1"/>
      <w:numFmt w:val="bullet"/>
      <w:lvlText w:val=""/>
      <w:lvlJc w:val="left"/>
      <w:pPr>
        <w:tabs>
          <w:tab w:val="left" w:pos="2520"/>
        </w:tabs>
        <w:ind w:left="2520" w:hanging="360"/>
      </w:pPr>
      <w:rPr>
        <w:rFonts w:hint="default" w:ascii="Wingdings" w:hAnsi="Wingdings"/>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o"/>
      <w:lvlJc w:val="left"/>
      <w:pPr>
        <w:tabs>
          <w:tab w:val="left" w:pos="3960"/>
        </w:tabs>
        <w:ind w:left="3960" w:hanging="360"/>
      </w:pPr>
      <w:rPr>
        <w:rFonts w:hint="default" w:ascii="Courier New" w:hAnsi="Courier New"/>
      </w:rPr>
    </w:lvl>
    <w:lvl w:ilvl="5" w:tentative="0">
      <w:start w:val="1"/>
      <w:numFmt w:val="bullet"/>
      <w:lvlText w:val=""/>
      <w:lvlJc w:val="left"/>
      <w:pPr>
        <w:tabs>
          <w:tab w:val="left" w:pos="4680"/>
        </w:tabs>
        <w:ind w:left="4680" w:hanging="360"/>
      </w:pPr>
      <w:rPr>
        <w:rFonts w:hint="default" w:ascii="Wingdings" w:hAnsi="Wingdings"/>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o"/>
      <w:lvlJc w:val="left"/>
      <w:pPr>
        <w:tabs>
          <w:tab w:val="left" w:pos="6120"/>
        </w:tabs>
        <w:ind w:left="6120" w:hanging="360"/>
      </w:pPr>
      <w:rPr>
        <w:rFonts w:hint="default" w:ascii="Courier New" w:hAnsi="Courier New"/>
      </w:rPr>
    </w:lvl>
    <w:lvl w:ilvl="8" w:tentative="0">
      <w:start w:val="1"/>
      <w:numFmt w:val="bullet"/>
      <w:lvlText w:val=""/>
      <w:lvlJc w:val="left"/>
      <w:pPr>
        <w:tabs>
          <w:tab w:val="left" w:pos="6840"/>
        </w:tabs>
        <w:ind w:left="6840" w:hanging="360"/>
      </w:pPr>
      <w:rPr>
        <w:rFonts w:hint="default" w:ascii="Wingdings" w:hAnsi="Wingdings"/>
      </w:rPr>
    </w:lvl>
  </w:abstractNum>
  <w:abstractNum w:abstractNumId="64">
    <w:nsid w:val="32860A32"/>
    <w:multiLevelType w:val="multilevel"/>
    <w:tmpl w:val="32860A32"/>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65">
    <w:nsid w:val="32D014E7"/>
    <w:multiLevelType w:val="multilevel"/>
    <w:tmpl w:val="32D014E7"/>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66">
    <w:nsid w:val="34212294"/>
    <w:multiLevelType w:val="multilevel"/>
    <w:tmpl w:val="3421229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67">
    <w:nsid w:val="36B150A5"/>
    <w:multiLevelType w:val="multilevel"/>
    <w:tmpl w:val="36B150A5"/>
    <w:lvl w:ilvl="0" w:tentative="0">
      <w:start w:val="1"/>
      <w:numFmt w:val="decimal"/>
      <w:pStyle w:val="872"/>
      <w:lvlText w:val="%1)"/>
      <w:lvlJc w:val="left"/>
      <w:pPr>
        <w:tabs>
          <w:tab w:val="left" w:pos="900"/>
        </w:tabs>
        <w:ind w:left="90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8">
    <w:nsid w:val="38875C82"/>
    <w:multiLevelType w:val="multilevel"/>
    <w:tmpl w:val="38875C82"/>
    <w:lvl w:ilvl="0" w:tentative="0">
      <w:start w:val="1"/>
      <w:numFmt w:val="decimal"/>
      <w:pStyle w:val="1147"/>
      <w:lvlText w:val="附图%1. "/>
      <w:lvlJc w:val="left"/>
      <w:pPr>
        <w:tabs>
          <w:tab w:val="left" w:pos="3240"/>
        </w:tabs>
        <w:ind w:left="29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pStyle w:val="1200"/>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9">
    <w:nsid w:val="3B1C6E0B"/>
    <w:multiLevelType w:val="multilevel"/>
    <w:tmpl w:val="3B1C6E0B"/>
    <w:lvl w:ilvl="0" w:tentative="0">
      <w:start w:val="1"/>
      <w:numFmt w:val="none"/>
      <w:pStyle w:val="1187"/>
      <w:lvlText w:val="Important!"/>
      <w:lvlJc w:val="left"/>
      <w:pPr>
        <w:tabs>
          <w:tab w:val="left" w:pos="-360"/>
        </w:tabs>
        <w:ind w:left="0" w:hanging="360"/>
      </w:pPr>
      <w:rPr>
        <w:rFonts w:hint="default" w:ascii="Arial" w:hAnsi="Arial"/>
        <w:b/>
        <w:i w:val="0"/>
        <w:sz w:val="22"/>
        <w:szCs w:val="22"/>
      </w:rPr>
    </w:lvl>
    <w:lvl w:ilvl="1" w:tentative="0">
      <w:start w:val="1"/>
      <w:numFmt w:val="lowerLetter"/>
      <w:lvlText w:val="%2."/>
      <w:lvlJc w:val="left"/>
      <w:pPr>
        <w:tabs>
          <w:tab w:val="left" w:pos="1080"/>
        </w:tabs>
        <w:ind w:left="1080" w:hanging="360"/>
      </w:pPr>
    </w:lvl>
    <w:lvl w:ilvl="2" w:tentative="0">
      <w:start w:val="1"/>
      <w:numFmt w:val="lowerRoman"/>
      <w:lvlText w:val="%3."/>
      <w:lvlJc w:val="right"/>
      <w:pPr>
        <w:tabs>
          <w:tab w:val="left" w:pos="1800"/>
        </w:tabs>
        <w:ind w:left="1800" w:hanging="180"/>
      </w:pPr>
    </w:lvl>
    <w:lvl w:ilvl="3" w:tentative="0">
      <w:start w:val="1"/>
      <w:numFmt w:val="decimal"/>
      <w:lvlText w:val="%4."/>
      <w:lvlJc w:val="left"/>
      <w:pPr>
        <w:tabs>
          <w:tab w:val="left" w:pos="2520"/>
        </w:tabs>
        <w:ind w:left="2520" w:hanging="360"/>
      </w:pPr>
    </w:lvl>
    <w:lvl w:ilvl="4" w:tentative="0">
      <w:start w:val="1"/>
      <w:numFmt w:val="lowerLetter"/>
      <w:lvlText w:val="%5."/>
      <w:lvlJc w:val="left"/>
      <w:pPr>
        <w:tabs>
          <w:tab w:val="left" w:pos="3240"/>
        </w:tabs>
        <w:ind w:left="3240" w:hanging="360"/>
      </w:pPr>
    </w:lvl>
    <w:lvl w:ilvl="5" w:tentative="0">
      <w:start w:val="1"/>
      <w:numFmt w:val="lowerRoman"/>
      <w:lvlText w:val="%6."/>
      <w:lvlJc w:val="right"/>
      <w:pPr>
        <w:tabs>
          <w:tab w:val="left" w:pos="3960"/>
        </w:tabs>
        <w:ind w:left="3960" w:hanging="180"/>
      </w:pPr>
    </w:lvl>
    <w:lvl w:ilvl="6" w:tentative="0">
      <w:start w:val="1"/>
      <w:numFmt w:val="decimal"/>
      <w:lvlText w:val="%7."/>
      <w:lvlJc w:val="left"/>
      <w:pPr>
        <w:tabs>
          <w:tab w:val="left" w:pos="4680"/>
        </w:tabs>
        <w:ind w:left="4680" w:hanging="360"/>
      </w:pPr>
    </w:lvl>
    <w:lvl w:ilvl="7" w:tentative="0">
      <w:start w:val="1"/>
      <w:numFmt w:val="lowerLetter"/>
      <w:lvlText w:val="%8."/>
      <w:lvlJc w:val="left"/>
      <w:pPr>
        <w:tabs>
          <w:tab w:val="left" w:pos="5400"/>
        </w:tabs>
        <w:ind w:left="5400" w:hanging="360"/>
      </w:pPr>
    </w:lvl>
    <w:lvl w:ilvl="8" w:tentative="0">
      <w:start w:val="1"/>
      <w:numFmt w:val="lowerRoman"/>
      <w:lvlText w:val="%9."/>
      <w:lvlJc w:val="right"/>
      <w:pPr>
        <w:tabs>
          <w:tab w:val="left" w:pos="6120"/>
        </w:tabs>
        <w:ind w:left="6120" w:hanging="180"/>
      </w:pPr>
    </w:lvl>
  </w:abstractNum>
  <w:abstractNum w:abstractNumId="70">
    <w:nsid w:val="3B3F289F"/>
    <w:multiLevelType w:val="multilevel"/>
    <w:tmpl w:val="3B3F289F"/>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71">
    <w:nsid w:val="3DDB2E54"/>
    <w:multiLevelType w:val="multilevel"/>
    <w:tmpl w:val="3DDB2E5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72">
    <w:nsid w:val="40D4409A"/>
    <w:multiLevelType w:val="multilevel"/>
    <w:tmpl w:val="40D4409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73">
    <w:nsid w:val="43392914"/>
    <w:multiLevelType w:val="multilevel"/>
    <w:tmpl w:val="43392914"/>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74">
    <w:nsid w:val="44A07982"/>
    <w:multiLevelType w:val="multilevel"/>
    <w:tmpl w:val="44A07982"/>
    <w:lvl w:ilvl="0" w:tentative="0">
      <w:start w:val="1"/>
      <w:numFmt w:val="bullet"/>
      <w:pStyle w:val="11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pStyle w:val="1220"/>
      <w:lvlText w:val=""/>
      <w:lvlJc w:val="left"/>
      <w:pPr>
        <w:tabs>
          <w:tab w:val="left" w:pos="2520"/>
        </w:tabs>
        <w:ind w:left="2520" w:hanging="420"/>
      </w:pPr>
      <w:rPr>
        <w:rFonts w:hint="default" w:ascii="Wingdings" w:hAnsi="Wingdings"/>
      </w:rPr>
    </w:lvl>
    <w:lvl w:ilvl="5" w:tentative="0">
      <w:start w:val="1"/>
      <w:numFmt w:val="bullet"/>
      <w:pStyle w:val="1223"/>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75">
    <w:nsid w:val="44B2166E"/>
    <w:multiLevelType w:val="multilevel"/>
    <w:tmpl w:val="44B2166E"/>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76">
    <w:nsid w:val="46806F7D"/>
    <w:multiLevelType w:val="multilevel"/>
    <w:tmpl w:val="46806F7D"/>
    <w:lvl w:ilvl="0" w:tentative="0">
      <w:start w:val="1"/>
      <w:numFmt w:val="none"/>
      <w:pStyle w:val="519"/>
      <w:lvlText w:val="图"/>
      <w:lvlJc w:val="left"/>
      <w:pPr>
        <w:tabs>
          <w:tab w:val="left" w:pos="360"/>
        </w:tabs>
        <w:ind w:left="0" w:firstLine="0"/>
      </w:pPr>
      <w:rPr>
        <w:rFonts w:hint="eastAsia" w:ascii="黑体" w:eastAsia="黑体"/>
        <w:b w:val="0"/>
        <w:i w:val="0"/>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7">
    <w:nsid w:val="46AE4BA6"/>
    <w:multiLevelType w:val="multilevel"/>
    <w:tmpl w:val="46AE4BA6"/>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78">
    <w:nsid w:val="46D22D8F"/>
    <w:multiLevelType w:val="multilevel"/>
    <w:tmpl w:val="46D22D8F"/>
    <w:lvl w:ilvl="0" w:tentative="0">
      <w:start w:val="1"/>
      <w:numFmt w:val="none"/>
      <w:pStyle w:val="541"/>
      <w:lvlText w:val="%1◆　"/>
      <w:lvlJc w:val="left"/>
      <w:pPr>
        <w:tabs>
          <w:tab w:val="left" w:pos="960"/>
        </w:tabs>
        <w:ind w:left="917" w:hanging="317"/>
      </w:pPr>
      <w:rPr>
        <w:rFonts w:hint="eastAsia" w:ascii="宋体" w:hAnsi="Times New Roman" w:eastAsia="宋体"/>
        <w:b w:val="0"/>
        <w:i w:val="0"/>
        <w:position w:val="4"/>
        <w:sz w:val="1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9">
    <w:nsid w:val="47E317D0"/>
    <w:multiLevelType w:val="singleLevel"/>
    <w:tmpl w:val="47E317D0"/>
    <w:lvl w:ilvl="0" w:tentative="0">
      <w:start w:val="1"/>
      <w:numFmt w:val="bullet"/>
      <w:pStyle w:val="606"/>
      <w:lvlText w:val=""/>
      <w:lvlJc w:val="left"/>
      <w:pPr>
        <w:tabs>
          <w:tab w:val="left" w:pos="987"/>
        </w:tabs>
        <w:ind w:left="987" w:hanging="420"/>
      </w:pPr>
      <w:rPr>
        <w:rFonts w:hint="default" w:ascii="Wingdings" w:hAnsi="Wingdings"/>
      </w:rPr>
    </w:lvl>
  </w:abstractNum>
  <w:abstractNum w:abstractNumId="80">
    <w:nsid w:val="481C1677"/>
    <w:multiLevelType w:val="multilevel"/>
    <w:tmpl w:val="481C1677"/>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1">
    <w:nsid w:val="49B148D4"/>
    <w:multiLevelType w:val="multilevel"/>
    <w:tmpl w:val="49B148D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82">
    <w:nsid w:val="4AB0772E"/>
    <w:multiLevelType w:val="multilevel"/>
    <w:tmpl w:val="4AB0772E"/>
    <w:lvl w:ilvl="0" w:tentative="0">
      <w:start w:val="1"/>
      <w:numFmt w:val="decimal"/>
      <w:pStyle w:val="616"/>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3">
    <w:nsid w:val="4CA75A52"/>
    <w:multiLevelType w:val="multilevel"/>
    <w:tmpl w:val="4CA75A52"/>
    <w:lvl w:ilvl="0" w:tentative="0">
      <w:start w:val="1"/>
      <w:numFmt w:val="decimal"/>
      <w:pStyle w:val="1386"/>
      <w:lvlText w:val="%1)"/>
      <w:lvlJc w:val="left"/>
      <w:pPr>
        <w:ind w:left="420" w:firstLine="0"/>
      </w:pPr>
      <w:rPr>
        <w:rFonts w:hint="default" w:ascii="Verdana" w:hAnsi="Verdana"/>
        <w:b w:val="0"/>
        <w:sz w:val="24"/>
      </w:rPr>
    </w:lvl>
    <w:lvl w:ilvl="1" w:tentative="0">
      <w:start w:val="1"/>
      <w:numFmt w:val="lowerLetter"/>
      <w:lvlText w:val="%2)"/>
      <w:lvlJc w:val="left"/>
      <w:pPr>
        <w:ind w:left="420" w:hanging="420"/>
      </w:pPr>
    </w:lvl>
    <w:lvl w:ilvl="2" w:tentative="0">
      <w:start w:val="1"/>
      <w:numFmt w:val="lowerRoman"/>
      <w:lvlText w:val="%3."/>
      <w:lvlJc w:val="right"/>
      <w:pPr>
        <w:ind w:left="840" w:hanging="420"/>
      </w:pPr>
    </w:lvl>
    <w:lvl w:ilvl="3" w:tentative="0">
      <w:start w:val="1"/>
      <w:numFmt w:val="decimal"/>
      <w:lvlText w:val="%4."/>
      <w:lvlJc w:val="left"/>
      <w:pPr>
        <w:ind w:left="1260" w:hanging="420"/>
      </w:pPr>
    </w:lvl>
    <w:lvl w:ilvl="4" w:tentative="0">
      <w:start w:val="1"/>
      <w:numFmt w:val="lowerLetter"/>
      <w:lvlText w:val="%5)"/>
      <w:lvlJc w:val="left"/>
      <w:pPr>
        <w:ind w:left="1680" w:hanging="420"/>
      </w:pPr>
    </w:lvl>
    <w:lvl w:ilvl="5" w:tentative="0">
      <w:start w:val="1"/>
      <w:numFmt w:val="lowerRoman"/>
      <w:lvlText w:val="%6."/>
      <w:lvlJc w:val="right"/>
      <w:pPr>
        <w:ind w:left="2100" w:hanging="420"/>
      </w:pPr>
    </w:lvl>
    <w:lvl w:ilvl="6" w:tentative="0">
      <w:start w:val="1"/>
      <w:numFmt w:val="decimal"/>
      <w:lvlText w:val="%7."/>
      <w:lvlJc w:val="left"/>
      <w:pPr>
        <w:ind w:left="2520" w:hanging="420"/>
      </w:pPr>
    </w:lvl>
    <w:lvl w:ilvl="7" w:tentative="0">
      <w:start w:val="1"/>
      <w:numFmt w:val="lowerLetter"/>
      <w:lvlText w:val="%8)"/>
      <w:lvlJc w:val="left"/>
      <w:pPr>
        <w:ind w:left="2940" w:hanging="420"/>
      </w:pPr>
    </w:lvl>
    <w:lvl w:ilvl="8" w:tentative="0">
      <w:start w:val="1"/>
      <w:numFmt w:val="lowerRoman"/>
      <w:lvlText w:val="%9."/>
      <w:lvlJc w:val="right"/>
      <w:pPr>
        <w:ind w:left="3360" w:hanging="420"/>
      </w:pPr>
    </w:lvl>
  </w:abstractNum>
  <w:abstractNum w:abstractNumId="84">
    <w:nsid w:val="4CA80622"/>
    <w:multiLevelType w:val="multilevel"/>
    <w:tmpl w:val="4CA80622"/>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85">
    <w:nsid w:val="4CED56A4"/>
    <w:multiLevelType w:val="multilevel"/>
    <w:tmpl w:val="4CED56A4"/>
    <w:lvl w:ilvl="0" w:tentative="0">
      <w:start w:val="1"/>
      <w:numFmt w:val="bullet"/>
      <w:pStyle w:val="1142"/>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6">
    <w:nsid w:val="4E777B35"/>
    <w:multiLevelType w:val="multilevel"/>
    <w:tmpl w:val="4E777B35"/>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87">
    <w:nsid w:val="4EE14D8B"/>
    <w:multiLevelType w:val="multilevel"/>
    <w:tmpl w:val="4EE14D8B"/>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88">
    <w:nsid w:val="4F302902"/>
    <w:multiLevelType w:val="multilevel"/>
    <w:tmpl w:val="4F302902"/>
    <w:lvl w:ilvl="0" w:tentative="0">
      <w:start w:val="1"/>
      <w:numFmt w:val="none"/>
      <w:pStyle w:val="513"/>
      <w:lvlText w:val="表"/>
      <w:lvlJc w:val="left"/>
      <w:pPr>
        <w:tabs>
          <w:tab w:val="left" w:pos="360"/>
        </w:tabs>
        <w:ind w:left="0" w:firstLine="0"/>
      </w:pPr>
      <w:rPr>
        <w:rFonts w:hint="eastAsia" w:ascii="黑体" w:eastAsia="黑体"/>
        <w:b w:val="0"/>
        <w:i w:val="0"/>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9">
    <w:nsid w:val="4FC4580A"/>
    <w:multiLevelType w:val="multilevel"/>
    <w:tmpl w:val="4FC4580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90">
    <w:nsid w:val="507020EA"/>
    <w:multiLevelType w:val="multilevel"/>
    <w:tmpl w:val="507020E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91">
    <w:nsid w:val="513C1EA5"/>
    <w:multiLevelType w:val="multilevel"/>
    <w:tmpl w:val="513C1EA5"/>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92">
    <w:nsid w:val="517533F6"/>
    <w:multiLevelType w:val="multilevel"/>
    <w:tmpl w:val="517533F6"/>
    <w:lvl w:ilvl="0" w:tentative="0">
      <w:start w:val="1"/>
      <w:numFmt w:val="bullet"/>
      <w:lvlText w:val=""/>
      <w:lvlJc w:val="left"/>
      <w:pPr>
        <w:tabs>
          <w:tab w:val="left" w:pos="980"/>
        </w:tabs>
        <w:ind w:left="980" w:hanging="420"/>
      </w:pPr>
      <w:rPr>
        <w:rFonts w:hint="default" w:ascii="Wingdings" w:hAnsi="Wingdings"/>
      </w:rPr>
    </w:lvl>
    <w:lvl w:ilvl="1" w:tentative="0">
      <w:start w:val="1"/>
      <w:numFmt w:val="bullet"/>
      <w:lvlText w:val=""/>
      <w:lvlJc w:val="left"/>
      <w:pPr>
        <w:tabs>
          <w:tab w:val="left" w:pos="1400"/>
        </w:tabs>
        <w:ind w:left="1400" w:hanging="420"/>
      </w:pPr>
      <w:rPr>
        <w:rFonts w:hint="default" w:ascii="Wingdings" w:hAnsi="Wingdings"/>
      </w:rPr>
    </w:lvl>
    <w:lvl w:ilvl="2" w:tentative="0">
      <w:start w:val="1"/>
      <w:numFmt w:val="bullet"/>
      <w:lvlText w:val=""/>
      <w:lvlJc w:val="left"/>
      <w:pPr>
        <w:tabs>
          <w:tab w:val="left" w:pos="1820"/>
        </w:tabs>
        <w:ind w:left="1820" w:hanging="420"/>
      </w:pPr>
      <w:rPr>
        <w:rFonts w:hint="default" w:ascii="Wingdings" w:hAnsi="Wingdings"/>
      </w:rPr>
    </w:lvl>
    <w:lvl w:ilvl="3" w:tentative="0">
      <w:start w:val="1"/>
      <w:numFmt w:val="bullet"/>
      <w:pStyle w:val="906"/>
      <w:lvlText w:val=""/>
      <w:lvlJc w:val="left"/>
      <w:pPr>
        <w:tabs>
          <w:tab w:val="left" w:pos="2240"/>
        </w:tabs>
        <w:ind w:left="2240" w:hanging="420"/>
      </w:pPr>
      <w:rPr>
        <w:rFonts w:hint="default" w:ascii="Wingdings" w:hAnsi="Wingdings"/>
      </w:rPr>
    </w:lvl>
    <w:lvl w:ilvl="4" w:tentative="0">
      <w:start w:val="1"/>
      <w:numFmt w:val="bullet"/>
      <w:lvlText w:val=""/>
      <w:lvlJc w:val="left"/>
      <w:pPr>
        <w:tabs>
          <w:tab w:val="left" w:pos="2660"/>
        </w:tabs>
        <w:ind w:left="2660" w:hanging="420"/>
      </w:pPr>
      <w:rPr>
        <w:rFonts w:hint="default" w:ascii="Wingdings" w:hAnsi="Wingdings"/>
      </w:rPr>
    </w:lvl>
    <w:lvl w:ilvl="5" w:tentative="0">
      <w:start w:val="1"/>
      <w:numFmt w:val="bullet"/>
      <w:lvlText w:val=""/>
      <w:lvlJc w:val="left"/>
      <w:pPr>
        <w:tabs>
          <w:tab w:val="left" w:pos="3080"/>
        </w:tabs>
        <w:ind w:left="3080" w:hanging="420"/>
      </w:pPr>
      <w:rPr>
        <w:rFonts w:hint="default" w:ascii="Wingdings" w:hAnsi="Wingdings"/>
      </w:rPr>
    </w:lvl>
    <w:lvl w:ilvl="6" w:tentative="0">
      <w:start w:val="1"/>
      <w:numFmt w:val="bullet"/>
      <w:lvlText w:val=""/>
      <w:lvlJc w:val="left"/>
      <w:pPr>
        <w:tabs>
          <w:tab w:val="left" w:pos="3500"/>
        </w:tabs>
        <w:ind w:left="3500" w:hanging="420"/>
      </w:pPr>
      <w:rPr>
        <w:rFonts w:hint="default" w:ascii="Wingdings" w:hAnsi="Wingdings"/>
      </w:rPr>
    </w:lvl>
    <w:lvl w:ilvl="7" w:tentative="0">
      <w:start w:val="1"/>
      <w:numFmt w:val="bullet"/>
      <w:lvlText w:val=""/>
      <w:lvlJc w:val="left"/>
      <w:pPr>
        <w:tabs>
          <w:tab w:val="left" w:pos="3920"/>
        </w:tabs>
        <w:ind w:left="3920" w:hanging="420"/>
      </w:pPr>
      <w:rPr>
        <w:rFonts w:hint="default" w:ascii="Wingdings" w:hAnsi="Wingdings"/>
      </w:rPr>
    </w:lvl>
    <w:lvl w:ilvl="8" w:tentative="0">
      <w:start w:val="1"/>
      <w:numFmt w:val="bullet"/>
      <w:lvlText w:val=""/>
      <w:lvlJc w:val="left"/>
      <w:pPr>
        <w:tabs>
          <w:tab w:val="left" w:pos="4340"/>
        </w:tabs>
        <w:ind w:left="4340" w:hanging="420"/>
      </w:pPr>
      <w:rPr>
        <w:rFonts w:hint="default" w:ascii="Wingdings" w:hAnsi="Wingdings"/>
      </w:rPr>
    </w:lvl>
  </w:abstractNum>
  <w:abstractNum w:abstractNumId="93">
    <w:nsid w:val="51BC535B"/>
    <w:multiLevelType w:val="multilevel"/>
    <w:tmpl w:val="51BC535B"/>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94">
    <w:nsid w:val="51E3260B"/>
    <w:multiLevelType w:val="multilevel"/>
    <w:tmpl w:val="51E3260B"/>
    <w:lvl w:ilvl="0" w:tentative="0">
      <w:start w:val="1"/>
      <w:numFmt w:val="decimal"/>
      <w:lvlText w:val="%1"/>
      <w:lvlJc w:val="left"/>
      <w:pPr>
        <w:ind w:left="425" w:hanging="425"/>
      </w:pPr>
      <w:rPr>
        <w:rFonts w:hint="eastAsia"/>
      </w:rPr>
    </w:lvl>
    <w:lvl w:ilvl="1" w:tentative="0">
      <w:start w:val="1"/>
      <w:numFmt w:val="decimal"/>
      <w:pStyle w:val="585"/>
      <w:lvlText w:val="%1.%2"/>
      <w:lvlJc w:val="left"/>
      <w:pPr>
        <w:ind w:left="0" w:firstLine="0"/>
      </w:pPr>
      <w:rPr>
        <w:rFonts w:hint="eastAsia"/>
      </w:rPr>
    </w:lvl>
    <w:lvl w:ilvl="2" w:tentative="0">
      <w:start w:val="1"/>
      <w:numFmt w:val="decimal"/>
      <w:pStyle w:val="586"/>
      <w:lvlText w:val="%1.%2.%3"/>
      <w:lvlJc w:val="left"/>
      <w:pPr>
        <w:ind w:left="1842" w:firstLine="0"/>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95">
    <w:nsid w:val="536D3B61"/>
    <w:multiLevelType w:val="multilevel"/>
    <w:tmpl w:val="536D3B61"/>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96">
    <w:nsid w:val="58032FB7"/>
    <w:multiLevelType w:val="multilevel"/>
    <w:tmpl w:val="58032FB7"/>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97">
    <w:nsid w:val="5805027C"/>
    <w:multiLevelType w:val="multilevel"/>
    <w:tmpl w:val="5805027C"/>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98">
    <w:nsid w:val="58463BBE"/>
    <w:multiLevelType w:val="multilevel"/>
    <w:tmpl w:val="58463BBE"/>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9">
    <w:nsid w:val="588818F9"/>
    <w:multiLevelType w:val="multilevel"/>
    <w:tmpl w:val="588818F9"/>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00">
    <w:nsid w:val="58C71027"/>
    <w:multiLevelType w:val="multilevel"/>
    <w:tmpl w:val="58C71027"/>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01">
    <w:nsid w:val="5A506BB9"/>
    <w:multiLevelType w:val="multilevel"/>
    <w:tmpl w:val="5A506BB9"/>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02">
    <w:nsid w:val="5ACF7DBC"/>
    <w:multiLevelType w:val="multilevel"/>
    <w:tmpl w:val="5ACF7DBC"/>
    <w:lvl w:ilvl="0" w:tentative="0">
      <w:start w:val="1"/>
      <w:numFmt w:val="decimal"/>
      <w:suff w:val="nothing"/>
      <w:lvlText w:val="%1、"/>
      <w:lvlJc w:val="left"/>
      <w:pPr>
        <w:ind w:left="0" w:firstLine="0"/>
      </w:pPr>
      <w:rPr>
        <w:rFonts w:hint="eastAsia"/>
      </w:rPr>
    </w:lvl>
    <w:lvl w:ilvl="1" w:tentative="0">
      <w:start w:val="1"/>
      <w:numFmt w:val="decimal"/>
      <w:lvlText w:val="（%2）"/>
      <w:lvlJc w:val="left"/>
      <w:pPr>
        <w:ind w:left="1485" w:hanging="1065"/>
      </w:pPr>
      <w:rPr>
        <w:rFonts w:cs="Times New Roman"/>
        <w:lang w:val="en-US"/>
      </w:rPr>
    </w:lvl>
    <w:lvl w:ilvl="2" w:tentative="0">
      <w:start w:val="1"/>
      <w:numFmt w:val="decimal"/>
      <w:lvlText w:val="%3、"/>
      <w:lvlJc w:val="left"/>
      <w:pPr>
        <w:ind w:left="1560" w:hanging="7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3">
    <w:nsid w:val="5CEB7C94"/>
    <w:multiLevelType w:val="multilevel"/>
    <w:tmpl w:val="5CEB7C94"/>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04">
    <w:nsid w:val="5DC770BE"/>
    <w:multiLevelType w:val="singleLevel"/>
    <w:tmpl w:val="5DC770BE"/>
    <w:lvl w:ilvl="0" w:tentative="0">
      <w:start w:val="1"/>
      <w:numFmt w:val="bullet"/>
      <w:pStyle w:val="849"/>
      <w:lvlText w:val=""/>
      <w:lvlJc w:val="left"/>
      <w:pPr>
        <w:tabs>
          <w:tab w:val="left" w:pos="785"/>
        </w:tabs>
        <w:ind w:left="0" w:firstLine="425"/>
      </w:pPr>
      <w:rPr>
        <w:rFonts w:hint="default" w:ascii="Wingdings" w:hAnsi="Wingdings"/>
        <w:sz w:val="13"/>
        <w:u w:val="none"/>
      </w:rPr>
    </w:lvl>
  </w:abstractNum>
  <w:abstractNum w:abstractNumId="105">
    <w:nsid w:val="5F773483"/>
    <w:multiLevelType w:val="multilevel"/>
    <w:tmpl w:val="5F773483"/>
    <w:lvl w:ilvl="0" w:tentative="0">
      <w:start w:val="1"/>
      <w:numFmt w:val="decimal"/>
      <w:pStyle w:val="1170"/>
      <w:lvlText w:val="%1)"/>
      <w:lvlJc w:val="left"/>
      <w:pPr>
        <w:tabs>
          <w:tab w:val="left" w:pos="780"/>
        </w:tabs>
        <w:ind w:left="780" w:hanging="4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06">
    <w:nsid w:val="61472510"/>
    <w:multiLevelType w:val="multilevel"/>
    <w:tmpl w:val="61472510"/>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07">
    <w:nsid w:val="62B92210"/>
    <w:multiLevelType w:val="multilevel"/>
    <w:tmpl w:val="62B92210"/>
    <w:lvl w:ilvl="0" w:tentative="0">
      <w:start w:val="1"/>
      <w:numFmt w:val="decimal"/>
      <w:suff w:val="nothing"/>
      <w:lvlText w:val="（%1）"/>
      <w:lvlJc w:val="left"/>
      <w:pPr>
        <w:ind w:left="0" w:firstLine="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8">
    <w:nsid w:val="62D83504"/>
    <w:multiLevelType w:val="multilevel"/>
    <w:tmpl w:val="62D83504"/>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09">
    <w:nsid w:val="632E25AD"/>
    <w:multiLevelType w:val="multilevel"/>
    <w:tmpl w:val="632E25AD"/>
    <w:lvl w:ilvl="0" w:tentative="0">
      <w:start w:val="1"/>
      <w:numFmt w:val="bullet"/>
      <w:pStyle w:val="1192"/>
      <w:lvlText w:val=""/>
      <w:lvlJc w:val="left"/>
      <w:pPr>
        <w:tabs>
          <w:tab w:val="left" w:pos="820"/>
        </w:tabs>
        <w:ind w:left="820" w:hanging="420"/>
      </w:pPr>
      <w:rPr>
        <w:rFonts w:hint="default" w:ascii="Wingdings" w:hAnsi="Wingdings"/>
      </w:rPr>
    </w:lvl>
    <w:lvl w:ilvl="1" w:tentative="0">
      <w:start w:val="3"/>
      <w:numFmt w:val="bullet"/>
      <w:lvlText w:val="＊"/>
      <w:lvlJc w:val="left"/>
      <w:pPr>
        <w:tabs>
          <w:tab w:val="left" w:pos="1180"/>
        </w:tabs>
        <w:ind w:left="1180" w:hanging="360"/>
      </w:pPr>
      <w:rPr>
        <w:rFonts w:hint="eastAsia" w:ascii="宋体" w:hAnsi="宋体" w:eastAsia="宋体" w:cs="Times New Roman"/>
      </w:rPr>
    </w:lvl>
    <w:lvl w:ilvl="2" w:tentative="0">
      <w:start w:val="1"/>
      <w:numFmt w:val="bullet"/>
      <w:lvlText w:val=""/>
      <w:lvlJc w:val="left"/>
      <w:pPr>
        <w:tabs>
          <w:tab w:val="left" w:pos="1660"/>
        </w:tabs>
        <w:ind w:left="1660" w:hanging="420"/>
      </w:pPr>
      <w:rPr>
        <w:rFonts w:hint="default" w:ascii="Wingdings" w:hAnsi="Wingdings"/>
      </w:rPr>
    </w:lvl>
    <w:lvl w:ilvl="3" w:tentative="0">
      <w:start w:val="1"/>
      <w:numFmt w:val="bullet"/>
      <w:lvlText w:val=""/>
      <w:lvlJc w:val="left"/>
      <w:pPr>
        <w:tabs>
          <w:tab w:val="left" w:pos="2080"/>
        </w:tabs>
        <w:ind w:left="2080" w:hanging="420"/>
      </w:pPr>
      <w:rPr>
        <w:rFonts w:hint="default" w:ascii="Wingdings" w:hAnsi="Wingdings"/>
      </w:rPr>
    </w:lvl>
    <w:lvl w:ilvl="4" w:tentative="0">
      <w:start w:val="1"/>
      <w:numFmt w:val="bullet"/>
      <w:lvlText w:val=""/>
      <w:lvlJc w:val="left"/>
      <w:pPr>
        <w:tabs>
          <w:tab w:val="left" w:pos="2500"/>
        </w:tabs>
        <w:ind w:left="2500" w:hanging="420"/>
      </w:pPr>
      <w:rPr>
        <w:rFonts w:hint="default" w:ascii="Wingdings" w:hAnsi="Wingdings"/>
      </w:rPr>
    </w:lvl>
    <w:lvl w:ilvl="5" w:tentative="0">
      <w:start w:val="1"/>
      <w:numFmt w:val="bullet"/>
      <w:lvlText w:val=""/>
      <w:lvlJc w:val="left"/>
      <w:pPr>
        <w:tabs>
          <w:tab w:val="left" w:pos="2920"/>
        </w:tabs>
        <w:ind w:left="2920" w:hanging="420"/>
      </w:pPr>
      <w:rPr>
        <w:rFonts w:hint="default" w:ascii="Wingdings" w:hAnsi="Wingdings"/>
      </w:rPr>
    </w:lvl>
    <w:lvl w:ilvl="6" w:tentative="0">
      <w:start w:val="1"/>
      <w:numFmt w:val="bullet"/>
      <w:lvlText w:val=""/>
      <w:lvlJc w:val="left"/>
      <w:pPr>
        <w:tabs>
          <w:tab w:val="left" w:pos="3340"/>
        </w:tabs>
        <w:ind w:left="3340" w:hanging="420"/>
      </w:pPr>
      <w:rPr>
        <w:rFonts w:hint="default" w:ascii="Wingdings" w:hAnsi="Wingdings"/>
      </w:rPr>
    </w:lvl>
    <w:lvl w:ilvl="7" w:tentative="0">
      <w:start w:val="1"/>
      <w:numFmt w:val="bullet"/>
      <w:lvlText w:val=""/>
      <w:lvlJc w:val="left"/>
      <w:pPr>
        <w:tabs>
          <w:tab w:val="left" w:pos="3760"/>
        </w:tabs>
        <w:ind w:left="3760" w:hanging="420"/>
      </w:pPr>
      <w:rPr>
        <w:rFonts w:hint="default" w:ascii="Wingdings" w:hAnsi="Wingdings"/>
      </w:rPr>
    </w:lvl>
    <w:lvl w:ilvl="8" w:tentative="0">
      <w:start w:val="1"/>
      <w:numFmt w:val="bullet"/>
      <w:lvlText w:val=""/>
      <w:lvlJc w:val="left"/>
      <w:pPr>
        <w:tabs>
          <w:tab w:val="left" w:pos="4180"/>
        </w:tabs>
        <w:ind w:left="4180" w:hanging="420"/>
      </w:pPr>
      <w:rPr>
        <w:rFonts w:hint="default" w:ascii="Wingdings" w:hAnsi="Wingdings"/>
      </w:rPr>
    </w:lvl>
  </w:abstractNum>
  <w:abstractNum w:abstractNumId="110">
    <w:nsid w:val="6350366A"/>
    <w:multiLevelType w:val="multilevel"/>
    <w:tmpl w:val="6350366A"/>
    <w:lvl w:ilvl="0" w:tentative="0">
      <w:start w:val="1"/>
      <w:numFmt w:val="none"/>
      <w:pStyle w:val="523"/>
      <w:lvlText w:val="%1●　"/>
      <w:lvlJc w:val="left"/>
      <w:pPr>
        <w:tabs>
          <w:tab w:val="left" w:pos="760"/>
        </w:tabs>
        <w:ind w:left="717" w:hanging="317"/>
      </w:pPr>
      <w:rPr>
        <w:rFonts w:hint="eastAsia" w:ascii="宋体" w:hAnsi="Times New Roman" w:eastAsia="宋体"/>
        <w:b w:val="0"/>
        <w:i w:val="0"/>
        <w:position w:val="4"/>
        <w:sz w:val="13"/>
      </w:rPr>
    </w:lvl>
    <w:lvl w:ilvl="1" w:tentative="0">
      <w:start w:val="1"/>
      <w:numFmt w:val="lowerLetter"/>
      <w:lvlText w:val="%2)"/>
      <w:lvlJc w:val="left"/>
      <w:pPr>
        <w:tabs>
          <w:tab w:val="left" w:pos="780"/>
        </w:tabs>
        <w:ind w:left="780" w:hanging="36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1">
    <w:nsid w:val="63B721DA"/>
    <w:multiLevelType w:val="multilevel"/>
    <w:tmpl w:val="63B721DA"/>
    <w:lvl w:ilvl="0" w:tentative="0">
      <w:start w:val="1"/>
      <w:numFmt w:val="decimal"/>
      <w:isLgl/>
      <w:suff w:val="space"/>
      <w:lvlText w:val="第%1章"/>
      <w:lvlJc w:val="left"/>
      <w:pPr>
        <w:ind w:left="170" w:hanging="170"/>
      </w:pPr>
      <w:rPr>
        <w:rFonts w:hint="default" w:ascii="Times New Roman" w:hAnsi="Times New Roman" w:eastAsia="黑体"/>
        <w:b/>
        <w:i w:val="0"/>
        <w:sz w:val="28"/>
        <w:szCs w:val="28"/>
      </w:rPr>
    </w:lvl>
    <w:lvl w:ilvl="1" w:tentative="0">
      <w:start w:val="1"/>
      <w:numFmt w:val="decimal"/>
      <w:isLgl/>
      <w:suff w:val="space"/>
      <w:lvlText w:val="%1.%2"/>
      <w:lvlJc w:val="left"/>
      <w:pPr>
        <w:ind w:left="576" w:hanging="576"/>
      </w:pPr>
      <w:rPr>
        <w:rFonts w:hint="default" w:ascii="Arial" w:hAnsi="Arial" w:eastAsia="宋体"/>
        <w:b/>
        <w:i w:val="0"/>
        <w:sz w:val="28"/>
        <w:szCs w:val="28"/>
      </w:rPr>
    </w:lvl>
    <w:lvl w:ilvl="2" w:tentative="0">
      <w:start w:val="1"/>
      <w:numFmt w:val="decimal"/>
      <w:pStyle w:val="868"/>
      <w:isLgl/>
      <w:suff w:val="space"/>
      <w:lvlText w:val="%1.%2.%3"/>
      <w:lvlJc w:val="left"/>
      <w:pPr>
        <w:ind w:left="720" w:hanging="720"/>
      </w:pPr>
      <w:rPr>
        <w:rFonts w:hint="default" w:ascii="Arial" w:hAnsi="Arial" w:eastAsia="黑体"/>
        <w:b/>
        <w:i w:val="0"/>
        <w:sz w:val="24"/>
        <w:szCs w:val="24"/>
      </w:rPr>
    </w:lvl>
    <w:lvl w:ilvl="3" w:tentative="0">
      <w:start w:val="1"/>
      <w:numFmt w:val="decimal"/>
      <w:pStyle w:val="869"/>
      <w:isLgl/>
      <w:suff w:val="space"/>
      <w:lvlText w:val="%1.%2.%3.%4"/>
      <w:lvlJc w:val="left"/>
      <w:pPr>
        <w:ind w:left="864" w:hanging="864"/>
      </w:pPr>
      <w:rPr>
        <w:rFonts w:hint="default" w:ascii="Arial" w:hAnsi="Arial" w:eastAsia="黑体"/>
        <w:b/>
        <w:i w:val="0"/>
        <w:sz w:val="24"/>
        <w:szCs w:val="24"/>
      </w:rPr>
    </w:lvl>
    <w:lvl w:ilvl="4" w:tentative="0">
      <w:start w:val="1"/>
      <w:numFmt w:val="decimal"/>
      <w:isLgl/>
      <w:suff w:val="space"/>
      <w:lvlText w:val="%1.%2.%3.%4.%5"/>
      <w:lvlJc w:val="left"/>
      <w:pPr>
        <w:ind w:left="1008" w:hanging="1008"/>
      </w:pPr>
      <w:rPr>
        <w:rFonts w:hint="eastAsia"/>
      </w:rPr>
    </w:lvl>
    <w:lvl w:ilvl="5" w:tentative="0">
      <w:start w:val="1"/>
      <w:numFmt w:val="decimal"/>
      <w:lvlText w:val="%1.%2.%3.%4.%5.%6"/>
      <w:lvlJc w:val="left"/>
      <w:pPr>
        <w:tabs>
          <w:tab w:val="left" w:pos="1440"/>
        </w:tabs>
        <w:ind w:left="1152" w:hanging="1152"/>
      </w:pPr>
      <w:rPr>
        <w:rFonts w:hint="eastAsia"/>
      </w:rPr>
    </w:lvl>
    <w:lvl w:ilvl="6" w:tentative="0">
      <w:start w:val="1"/>
      <w:numFmt w:val="decimal"/>
      <w:lvlText w:val="%1.%2.%3.%4.%5.%6.%7"/>
      <w:lvlJc w:val="left"/>
      <w:pPr>
        <w:tabs>
          <w:tab w:val="left" w:pos="180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12">
    <w:nsid w:val="64B67430"/>
    <w:multiLevelType w:val="multilevel"/>
    <w:tmpl w:val="64B67430"/>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3">
    <w:nsid w:val="64EB659A"/>
    <w:multiLevelType w:val="multilevel"/>
    <w:tmpl w:val="64EB659A"/>
    <w:lvl w:ilvl="0" w:tentative="0">
      <w:start w:val="1"/>
      <w:numFmt w:val="decimal"/>
      <w:suff w:val="nothing"/>
      <w:lvlText w:val="%1、"/>
      <w:lvlJc w:val="left"/>
      <w:pPr>
        <w:ind w:left="0" w:firstLine="0"/>
      </w:pPr>
      <w:rPr>
        <w:rFonts w:hint="eastAsia"/>
      </w:rPr>
    </w:lvl>
    <w:lvl w:ilvl="1" w:tentative="0">
      <w:start w:val="1"/>
      <w:numFmt w:val="decimal"/>
      <w:lvlText w:val="（%2）"/>
      <w:lvlJc w:val="left"/>
      <w:pPr>
        <w:ind w:left="1485" w:hanging="1065"/>
      </w:pPr>
      <w:rPr>
        <w:rFonts w:cs="Times New Roman"/>
        <w:lang w:val="en-US"/>
      </w:rPr>
    </w:lvl>
    <w:lvl w:ilvl="2" w:tentative="0">
      <w:start w:val="1"/>
      <w:numFmt w:val="decimal"/>
      <w:lvlText w:val="%3、"/>
      <w:lvlJc w:val="left"/>
      <w:pPr>
        <w:ind w:left="1560" w:hanging="7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4">
    <w:nsid w:val="66077A77"/>
    <w:multiLevelType w:val="multilevel"/>
    <w:tmpl w:val="66077A77"/>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5">
    <w:nsid w:val="672E0A37"/>
    <w:multiLevelType w:val="multilevel"/>
    <w:tmpl w:val="672E0A37"/>
    <w:lvl w:ilvl="0" w:tentative="0">
      <w:start w:val="1"/>
      <w:numFmt w:val="decimal"/>
      <w:suff w:val="nothing"/>
      <w:lvlText w:val="%1、"/>
      <w:lvlJc w:val="left"/>
      <w:pPr>
        <w:ind w:left="0" w:firstLine="0"/>
      </w:pPr>
      <w:rPr>
        <w:rFonts w:hint="eastAsia"/>
      </w:rPr>
    </w:lvl>
    <w:lvl w:ilvl="1" w:tentative="0">
      <w:start w:val="1"/>
      <w:numFmt w:val="decimal"/>
      <w:lvlText w:val="（%2）"/>
      <w:lvlJc w:val="left"/>
      <w:pPr>
        <w:ind w:left="1485" w:hanging="1065"/>
      </w:pPr>
      <w:rPr>
        <w:rFonts w:cs="Times New Roman"/>
        <w:lang w:val="en-US"/>
      </w:rPr>
    </w:lvl>
    <w:lvl w:ilvl="2" w:tentative="0">
      <w:start w:val="1"/>
      <w:numFmt w:val="decimal"/>
      <w:lvlText w:val="%3、"/>
      <w:lvlJc w:val="left"/>
      <w:pPr>
        <w:ind w:left="1560" w:hanging="7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6">
    <w:nsid w:val="688329CA"/>
    <w:multiLevelType w:val="multilevel"/>
    <w:tmpl w:val="688329C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7">
    <w:nsid w:val="69BB781F"/>
    <w:multiLevelType w:val="multilevel"/>
    <w:tmpl w:val="69BB781F"/>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8">
    <w:nsid w:val="6B3C2D6F"/>
    <w:multiLevelType w:val="multilevel"/>
    <w:tmpl w:val="6B3C2D6F"/>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19">
    <w:nsid w:val="6B9171A7"/>
    <w:multiLevelType w:val="multilevel"/>
    <w:tmpl w:val="6B9171A7"/>
    <w:lvl w:ilvl="0" w:tentative="0">
      <w:start w:val="1"/>
      <w:numFmt w:val="decimal"/>
      <w:lvlText w:val="%1)"/>
      <w:lvlJc w:val="left"/>
      <w:pPr>
        <w:tabs>
          <w:tab w:val="left" w:pos="900"/>
        </w:tabs>
        <w:ind w:left="900" w:hanging="420"/>
      </w:pPr>
      <w:rPr>
        <w:rFonts w:hint="default"/>
      </w:rPr>
    </w:lvl>
    <w:lvl w:ilvl="1" w:tentative="0">
      <w:start w:val="1"/>
      <w:numFmt w:val="lowerLetter"/>
      <w:lvlText w:val="%2)"/>
      <w:lvlJc w:val="left"/>
      <w:pPr>
        <w:tabs>
          <w:tab w:val="left" w:pos="840"/>
        </w:tabs>
        <w:ind w:left="840" w:hanging="420"/>
      </w:pPr>
    </w:lvl>
    <w:lvl w:ilvl="2" w:tentative="0">
      <w:start w:val="1"/>
      <w:numFmt w:val="lowerRoman"/>
      <w:pStyle w:val="870"/>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0">
    <w:nsid w:val="6BB66B4D"/>
    <w:multiLevelType w:val="multilevel"/>
    <w:tmpl w:val="6BB66B4D"/>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21">
    <w:nsid w:val="6BFD1E6B"/>
    <w:multiLevelType w:val="multilevel"/>
    <w:tmpl w:val="6BFD1E6B"/>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22">
    <w:nsid w:val="6CB11212"/>
    <w:multiLevelType w:val="multilevel"/>
    <w:tmpl w:val="6CB11212"/>
    <w:lvl w:ilvl="0" w:tentative="0">
      <w:start w:val="1"/>
      <w:numFmt w:val="decimal"/>
      <w:pStyle w:val="14"/>
      <w:lvlText w:val="%1"/>
      <w:lvlJc w:val="left"/>
      <w:pPr>
        <w:tabs>
          <w:tab w:val="left" w:pos="425"/>
        </w:tabs>
        <w:ind w:left="425" w:hanging="425"/>
      </w:pPr>
      <w:rPr>
        <w:rFonts w:hint="default" w:ascii="Times New Roman" w:hAnsi="Times New Roman"/>
        <w:b/>
        <w:i w:val="0"/>
        <w:sz w:val="28"/>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23">
    <w:nsid w:val="6D621D5E"/>
    <w:multiLevelType w:val="multilevel"/>
    <w:tmpl w:val="6D621D5E"/>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24">
    <w:nsid w:val="6DC44ADB"/>
    <w:multiLevelType w:val="multilevel"/>
    <w:tmpl w:val="6DC44ADB"/>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25">
    <w:nsid w:val="70C45358"/>
    <w:multiLevelType w:val="multilevel"/>
    <w:tmpl w:val="70C45358"/>
    <w:lvl w:ilvl="0" w:tentative="0">
      <w:start w:val="1"/>
      <w:numFmt w:val="decimal"/>
      <w:pStyle w:val="1293"/>
      <w:lvlText w:val="第%1章 "/>
      <w:lvlJc w:val="left"/>
      <w:pPr>
        <w:tabs>
          <w:tab w:val="left" w:pos="1206"/>
        </w:tabs>
        <w:ind w:left="639" w:firstLine="0"/>
      </w:pPr>
      <w:rPr>
        <w:rFonts w:hint="eastAsia"/>
      </w:rPr>
    </w:lvl>
    <w:lvl w:ilvl="1" w:tentative="0">
      <w:start w:val="1"/>
      <w:numFmt w:val="decimal"/>
      <w:lvlText w:val="%1.%2"/>
      <w:lvlJc w:val="left"/>
      <w:pPr>
        <w:tabs>
          <w:tab w:val="left" w:pos="567"/>
        </w:tabs>
        <w:ind w:left="0" w:firstLine="0"/>
      </w:pPr>
      <w:rPr>
        <w:rFonts w:hint="eastAsia"/>
      </w:rPr>
    </w:lvl>
    <w:lvl w:ilvl="2" w:tentative="0">
      <w:start w:val="1"/>
      <w:numFmt w:val="decimal"/>
      <w:lvlText w:val="%1.%2.%3"/>
      <w:lvlJc w:val="left"/>
      <w:pPr>
        <w:tabs>
          <w:tab w:val="left" w:pos="567"/>
        </w:tabs>
        <w:ind w:left="0" w:firstLine="0"/>
      </w:pPr>
      <w:rPr>
        <w:rFonts w:hint="eastAsia"/>
      </w:rPr>
    </w:lvl>
    <w:lvl w:ilvl="3" w:tentative="0">
      <w:start w:val="1"/>
      <w:numFmt w:val="decimal"/>
      <w:lvlText w:val="%1.%2.%3.%4"/>
      <w:lvlJc w:val="left"/>
      <w:pPr>
        <w:tabs>
          <w:tab w:val="left" w:pos="567"/>
        </w:tabs>
        <w:ind w:left="0" w:firstLine="0"/>
      </w:pPr>
      <w:rPr>
        <w:rFonts w:hint="eastAsia"/>
      </w:rPr>
    </w:lvl>
    <w:lvl w:ilvl="4" w:tentative="0">
      <w:start w:val="1"/>
      <w:numFmt w:val="decimal"/>
      <w:lvlText w:val="%1.%2.%3.%4.%5"/>
      <w:lvlJc w:val="left"/>
      <w:pPr>
        <w:tabs>
          <w:tab w:val="left" w:pos="567"/>
        </w:tabs>
        <w:ind w:left="0" w:firstLine="0"/>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26">
    <w:nsid w:val="71093D90"/>
    <w:multiLevelType w:val="multilevel"/>
    <w:tmpl w:val="71093D90"/>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27">
    <w:nsid w:val="71F46B31"/>
    <w:multiLevelType w:val="multilevel"/>
    <w:tmpl w:val="71F46B31"/>
    <w:lvl w:ilvl="0" w:tentative="0">
      <w:start w:val="1"/>
      <w:numFmt w:val="decimal"/>
      <w:pStyle w:val="369"/>
      <w:lvlText w:val="图6.%1"/>
      <w:lvlJc w:val="left"/>
      <w:pPr>
        <w:ind w:left="1320" w:hanging="420"/>
      </w:pPr>
      <w:rPr>
        <w:rFonts w:hint="eastAsia" w:ascii="Times New Roman" w:hAnsi="Times New Roman"/>
        <w:b w:val="0"/>
        <w:bCs w:val="0"/>
        <w:i w:val="0"/>
        <w:iCs w:val="0"/>
        <w:caps w:val="0"/>
        <w:smallCaps w:val="0"/>
        <w:strike w:val="0"/>
        <w:dstrike w:val="0"/>
        <w:vanish w:val="0"/>
        <w:position w:val="0"/>
        <w:u w:val="none"/>
        <w:vertAlign w:val="baseline"/>
      </w:rPr>
    </w:lvl>
    <w:lvl w:ilvl="1" w:tentative="0">
      <w:start w:val="1"/>
      <w:numFmt w:val="lowerLetter"/>
      <w:lvlText w:val="%2)"/>
      <w:lvlJc w:val="left"/>
      <w:pPr>
        <w:ind w:left="1740" w:hanging="420"/>
      </w:pPr>
    </w:lvl>
    <w:lvl w:ilvl="2" w:tentative="0">
      <w:start w:val="1"/>
      <w:numFmt w:val="lowerRoman"/>
      <w:lvlText w:val="%3."/>
      <w:lvlJc w:val="right"/>
      <w:pPr>
        <w:ind w:left="2160" w:hanging="420"/>
      </w:pPr>
    </w:lvl>
    <w:lvl w:ilvl="3" w:tentative="0">
      <w:start w:val="1"/>
      <w:numFmt w:val="decimal"/>
      <w:lvlText w:val="%4."/>
      <w:lvlJc w:val="left"/>
      <w:pPr>
        <w:ind w:left="2580" w:hanging="420"/>
      </w:pPr>
    </w:lvl>
    <w:lvl w:ilvl="4" w:tentative="0">
      <w:start w:val="1"/>
      <w:numFmt w:val="lowerLetter"/>
      <w:lvlText w:val="%5)"/>
      <w:lvlJc w:val="left"/>
      <w:pPr>
        <w:ind w:left="3000" w:hanging="420"/>
      </w:pPr>
    </w:lvl>
    <w:lvl w:ilvl="5" w:tentative="0">
      <w:start w:val="1"/>
      <w:numFmt w:val="lowerRoman"/>
      <w:lvlText w:val="%6."/>
      <w:lvlJc w:val="right"/>
      <w:pPr>
        <w:ind w:left="3420" w:hanging="420"/>
      </w:pPr>
    </w:lvl>
    <w:lvl w:ilvl="6" w:tentative="0">
      <w:start w:val="1"/>
      <w:numFmt w:val="decimal"/>
      <w:lvlText w:val="%7."/>
      <w:lvlJc w:val="left"/>
      <w:pPr>
        <w:ind w:left="3840" w:hanging="420"/>
      </w:pPr>
    </w:lvl>
    <w:lvl w:ilvl="7" w:tentative="0">
      <w:start w:val="1"/>
      <w:numFmt w:val="lowerLetter"/>
      <w:lvlText w:val="%8)"/>
      <w:lvlJc w:val="left"/>
      <w:pPr>
        <w:ind w:left="4260" w:hanging="420"/>
      </w:pPr>
    </w:lvl>
    <w:lvl w:ilvl="8" w:tentative="0">
      <w:start w:val="1"/>
      <w:numFmt w:val="lowerRoman"/>
      <w:lvlText w:val="%9."/>
      <w:lvlJc w:val="right"/>
      <w:pPr>
        <w:ind w:left="4680" w:hanging="420"/>
      </w:pPr>
    </w:lvl>
  </w:abstractNum>
  <w:abstractNum w:abstractNumId="128">
    <w:nsid w:val="71F50683"/>
    <w:multiLevelType w:val="multilevel"/>
    <w:tmpl w:val="71F50683"/>
    <w:lvl w:ilvl="0" w:tentative="0">
      <w:start w:val="1"/>
      <w:numFmt w:val="bullet"/>
      <w:pStyle w:val="87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29">
    <w:nsid w:val="730719B5"/>
    <w:multiLevelType w:val="multilevel"/>
    <w:tmpl w:val="730719B5"/>
    <w:lvl w:ilvl="0" w:tentative="0">
      <w:start w:val="1"/>
      <w:numFmt w:val="decimal"/>
      <w:pStyle w:val="1242"/>
      <w:suff w:val="space"/>
      <w:lvlText w:val="第%1章"/>
      <w:lvlJc w:val="left"/>
      <w:pPr>
        <w:ind w:left="0" w:firstLine="0"/>
      </w:pPr>
      <w:rPr>
        <w:rFonts w:hint="eastAsia" w:ascii="黑体" w:eastAsia="黑体"/>
        <w:b w:val="0"/>
        <w:i w:val="0"/>
      </w:rPr>
    </w:lvl>
    <w:lvl w:ilvl="1" w:tentative="0">
      <w:start w:val="1"/>
      <w:numFmt w:val="decimal"/>
      <w:pStyle w:val="1243"/>
      <w:suff w:val="space"/>
      <w:lvlText w:val="%1.%2"/>
      <w:lvlJc w:val="left"/>
      <w:pPr>
        <w:ind w:left="0" w:firstLine="0"/>
      </w:pPr>
      <w:rPr>
        <w:rFonts w:hint="eastAsia" w:ascii="黑体" w:eastAsia="黑体"/>
        <w:b w:val="0"/>
        <w:i w:val="0"/>
      </w:rPr>
    </w:lvl>
    <w:lvl w:ilvl="2" w:tentative="0">
      <w:start w:val="1"/>
      <w:numFmt w:val="decimal"/>
      <w:pStyle w:val="1244"/>
      <w:suff w:val="space"/>
      <w:lvlText w:val="%1.%2.%3"/>
      <w:lvlJc w:val="left"/>
      <w:pPr>
        <w:ind w:left="3261" w:firstLine="0"/>
      </w:pPr>
      <w:rPr>
        <w:rFonts w:hint="eastAsia" w:ascii="黑体" w:eastAsia="黑体"/>
        <w:b w:val="0"/>
        <w:i w:val="0"/>
      </w:rPr>
    </w:lvl>
    <w:lvl w:ilvl="3" w:tentative="0">
      <w:start w:val="1"/>
      <w:numFmt w:val="decimal"/>
      <w:pStyle w:val="1245"/>
      <w:suff w:val="space"/>
      <w:lvlText w:val="%1.%2.%3.%4"/>
      <w:lvlJc w:val="left"/>
      <w:pPr>
        <w:ind w:left="0" w:firstLine="0"/>
      </w:pPr>
      <w:rPr>
        <w:rFonts w:hint="eastAsia" w:ascii="黑体" w:eastAsia="黑体"/>
        <w:b w:val="0"/>
        <w:i w:val="0"/>
      </w:rPr>
    </w:lvl>
    <w:lvl w:ilvl="4" w:tentative="0">
      <w:start w:val="1"/>
      <w:numFmt w:val="decimal"/>
      <w:pStyle w:val="1246"/>
      <w:suff w:val="space"/>
      <w:lvlText w:val="%1.%2.%3.%4.%5"/>
      <w:lvlJc w:val="left"/>
      <w:pPr>
        <w:ind w:left="0" w:firstLine="0"/>
      </w:pPr>
      <w:rPr>
        <w:rFonts w:hint="eastAsia" w:ascii="黑体" w:eastAsia="黑体"/>
        <w:b w:val="0"/>
        <w:i w:val="0"/>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30">
    <w:nsid w:val="73583F5D"/>
    <w:multiLevelType w:val="multilevel"/>
    <w:tmpl w:val="73583F5D"/>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1">
    <w:nsid w:val="7432723A"/>
    <w:multiLevelType w:val="multilevel"/>
    <w:tmpl w:val="7432723A"/>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2">
    <w:nsid w:val="74FF28D6"/>
    <w:multiLevelType w:val="multilevel"/>
    <w:tmpl w:val="74FF28D6"/>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3">
    <w:nsid w:val="759E0B8B"/>
    <w:multiLevelType w:val="multilevel"/>
    <w:tmpl w:val="759E0B8B"/>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34">
    <w:nsid w:val="75CE2A86"/>
    <w:multiLevelType w:val="multilevel"/>
    <w:tmpl w:val="75CE2A86"/>
    <w:lvl w:ilvl="0" w:tentative="0">
      <w:start w:val="1"/>
      <w:numFmt w:val="decimal"/>
      <w:pStyle w:val="850"/>
      <w:lvlText w:val="(%1) "/>
      <w:lvlJc w:val="left"/>
      <w:pPr>
        <w:tabs>
          <w:tab w:val="left" w:pos="-270"/>
        </w:tabs>
        <w:ind w:left="-1055" w:firstLine="425"/>
      </w:pPr>
      <w:rPr>
        <w:rFonts w:hint="default" w:ascii="Arial" w:hAnsi="Arial"/>
        <w:b w:val="0"/>
        <w:i w:val="0"/>
        <w:caps w:val="0"/>
        <w:strike w:val="0"/>
        <w:dstrike w:val="0"/>
        <w:vanish w:val="0"/>
        <w:color w:val="000000"/>
        <w:sz w:val="24"/>
        <w:vertAlign w:val="baseline"/>
      </w:rPr>
    </w:lvl>
    <w:lvl w:ilvl="1" w:tentative="0">
      <w:start w:val="1"/>
      <w:numFmt w:val="lowerLetter"/>
      <w:lvlText w:val="%2."/>
      <w:lvlJc w:val="left"/>
      <w:pPr>
        <w:tabs>
          <w:tab w:val="left" w:pos="-2970"/>
        </w:tabs>
        <w:ind w:left="-2970" w:hanging="360"/>
      </w:pPr>
      <w:rPr>
        <w:rFonts w:hint="eastAsia"/>
      </w:rPr>
    </w:lvl>
    <w:lvl w:ilvl="2" w:tentative="0">
      <w:start w:val="1"/>
      <w:numFmt w:val="lowerRoman"/>
      <w:lvlText w:val="%3."/>
      <w:lvlJc w:val="right"/>
      <w:pPr>
        <w:tabs>
          <w:tab w:val="left" w:pos="-2250"/>
        </w:tabs>
        <w:ind w:left="-2250" w:hanging="180"/>
      </w:pPr>
      <w:rPr>
        <w:rFonts w:hint="eastAsia"/>
      </w:rPr>
    </w:lvl>
    <w:lvl w:ilvl="3" w:tentative="0">
      <w:start w:val="1"/>
      <w:numFmt w:val="decimal"/>
      <w:lvlText w:val="%4."/>
      <w:lvlJc w:val="left"/>
      <w:pPr>
        <w:tabs>
          <w:tab w:val="left" w:pos="-1530"/>
        </w:tabs>
        <w:ind w:left="-1530" w:hanging="360"/>
      </w:pPr>
      <w:rPr>
        <w:rFonts w:hint="eastAsia"/>
      </w:rPr>
    </w:lvl>
    <w:lvl w:ilvl="4" w:tentative="0">
      <w:start w:val="1"/>
      <w:numFmt w:val="lowerLetter"/>
      <w:lvlText w:val="%5."/>
      <w:lvlJc w:val="left"/>
      <w:pPr>
        <w:tabs>
          <w:tab w:val="left" w:pos="-810"/>
        </w:tabs>
        <w:ind w:left="-810" w:hanging="360"/>
      </w:pPr>
      <w:rPr>
        <w:rFonts w:hint="eastAsia"/>
      </w:rPr>
    </w:lvl>
    <w:lvl w:ilvl="5" w:tentative="0">
      <w:start w:val="1"/>
      <w:numFmt w:val="lowerRoman"/>
      <w:lvlText w:val="%6."/>
      <w:lvlJc w:val="right"/>
      <w:pPr>
        <w:tabs>
          <w:tab w:val="left" w:pos="-90"/>
        </w:tabs>
        <w:ind w:left="-90" w:hanging="180"/>
      </w:pPr>
      <w:rPr>
        <w:rFonts w:hint="eastAsia"/>
      </w:rPr>
    </w:lvl>
    <w:lvl w:ilvl="6" w:tentative="0">
      <w:start w:val="1"/>
      <w:numFmt w:val="decimal"/>
      <w:lvlText w:val="%7."/>
      <w:lvlJc w:val="left"/>
      <w:pPr>
        <w:tabs>
          <w:tab w:val="left" w:pos="630"/>
        </w:tabs>
        <w:ind w:left="630" w:hanging="360"/>
      </w:pPr>
      <w:rPr>
        <w:rFonts w:hint="eastAsia"/>
      </w:rPr>
    </w:lvl>
    <w:lvl w:ilvl="7" w:tentative="0">
      <w:start w:val="1"/>
      <w:numFmt w:val="lowerLetter"/>
      <w:lvlText w:val="%8."/>
      <w:lvlJc w:val="left"/>
      <w:pPr>
        <w:tabs>
          <w:tab w:val="left" w:pos="1350"/>
        </w:tabs>
        <w:ind w:left="1350" w:hanging="360"/>
      </w:pPr>
      <w:rPr>
        <w:rFonts w:hint="eastAsia"/>
      </w:rPr>
    </w:lvl>
    <w:lvl w:ilvl="8" w:tentative="0">
      <w:start w:val="1"/>
      <w:numFmt w:val="lowerRoman"/>
      <w:lvlText w:val="%9."/>
      <w:lvlJc w:val="right"/>
      <w:pPr>
        <w:tabs>
          <w:tab w:val="left" w:pos="2070"/>
        </w:tabs>
        <w:ind w:left="2070" w:hanging="180"/>
      </w:pPr>
      <w:rPr>
        <w:rFonts w:hint="eastAsia"/>
      </w:rPr>
    </w:lvl>
  </w:abstractNum>
  <w:abstractNum w:abstractNumId="135">
    <w:nsid w:val="76933334"/>
    <w:multiLevelType w:val="multilevel"/>
    <w:tmpl w:val="76933334"/>
    <w:lvl w:ilvl="0" w:tentative="0">
      <w:start w:val="1"/>
      <w:numFmt w:val="none"/>
      <w:pStyle w:val="490"/>
      <w:lvlText w:val="%1——"/>
      <w:lvlJc w:val="left"/>
      <w:pPr>
        <w:tabs>
          <w:tab w:val="left" w:pos="1140"/>
        </w:tabs>
        <w:ind w:left="8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6">
    <w:nsid w:val="76C10E77"/>
    <w:multiLevelType w:val="multilevel"/>
    <w:tmpl w:val="76C10E77"/>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37">
    <w:nsid w:val="781B70A6"/>
    <w:multiLevelType w:val="multilevel"/>
    <w:tmpl w:val="781B70A6"/>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8">
    <w:nsid w:val="784C5495"/>
    <w:multiLevelType w:val="multilevel"/>
    <w:tmpl w:val="784C5495"/>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39">
    <w:nsid w:val="78D0220E"/>
    <w:multiLevelType w:val="multilevel"/>
    <w:tmpl w:val="78D0220E"/>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40">
    <w:nsid w:val="79E64B8F"/>
    <w:multiLevelType w:val="multilevel"/>
    <w:tmpl w:val="79E64B8F"/>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41">
    <w:nsid w:val="7A072787"/>
    <w:multiLevelType w:val="multilevel"/>
    <w:tmpl w:val="7A072787"/>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42">
    <w:nsid w:val="7A816E7D"/>
    <w:multiLevelType w:val="multilevel"/>
    <w:tmpl w:val="7A816E7D"/>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43">
    <w:nsid w:val="7B0B1EED"/>
    <w:multiLevelType w:val="multilevel"/>
    <w:tmpl w:val="7B0B1EED"/>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44">
    <w:nsid w:val="7B582AB8"/>
    <w:multiLevelType w:val="multilevel"/>
    <w:tmpl w:val="7B582AB8"/>
    <w:lvl w:ilvl="0" w:tentative="0">
      <w:start w:val="1"/>
      <w:numFmt w:val="decimal"/>
      <w:suff w:val="nothing"/>
      <w:lvlText w:val="%1、"/>
      <w:lvlJc w:val="left"/>
      <w:pPr>
        <w:ind w:left="0" w:firstLine="0"/>
      </w:pPr>
      <w:rPr>
        <w:rFonts w:hint="eastAsia"/>
      </w:rPr>
    </w:lvl>
    <w:lvl w:ilvl="1" w:tentative="0">
      <w:start w:val="1"/>
      <w:numFmt w:val="decimal"/>
      <w:lvlText w:val="（%2）"/>
      <w:lvlJc w:val="left"/>
      <w:pPr>
        <w:ind w:left="1485" w:hanging="1065"/>
      </w:pPr>
      <w:rPr>
        <w:rFonts w:cs="Times New Roman"/>
        <w:lang w:val="en-US"/>
      </w:rPr>
    </w:lvl>
    <w:lvl w:ilvl="2" w:tentative="0">
      <w:start w:val="1"/>
      <w:numFmt w:val="decimal"/>
      <w:lvlText w:val="%3、"/>
      <w:lvlJc w:val="left"/>
      <w:pPr>
        <w:ind w:left="1560" w:hanging="7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5">
    <w:nsid w:val="7C104056"/>
    <w:multiLevelType w:val="multilevel"/>
    <w:tmpl w:val="7C104056"/>
    <w:lvl w:ilvl="0" w:tentative="0">
      <w:start w:val="1"/>
      <w:numFmt w:val="decimal"/>
      <w:suff w:val="nothing"/>
      <w:lvlText w:val="（%1）"/>
      <w:lvlJc w:val="left"/>
      <w:pPr>
        <w:ind w:left="902" w:hanging="420"/>
      </w:pPr>
      <w:rPr>
        <w:rFonts w:hint="default"/>
      </w:rPr>
    </w:lvl>
    <w:lvl w:ilvl="1" w:tentative="0">
      <w:start w:val="1"/>
      <w:numFmt w:val="lowerLetter"/>
      <w:lvlText w:val="%2)"/>
      <w:lvlJc w:val="left"/>
      <w:pPr>
        <w:ind w:left="1322" w:hanging="420"/>
      </w:pPr>
      <w:rPr>
        <w:rFonts w:hint="eastAsia"/>
      </w:rPr>
    </w:lvl>
    <w:lvl w:ilvl="2" w:tentative="0">
      <w:start w:val="1"/>
      <w:numFmt w:val="lowerRoman"/>
      <w:lvlText w:val="%3."/>
      <w:lvlJc w:val="right"/>
      <w:pPr>
        <w:ind w:left="1742" w:hanging="420"/>
      </w:pPr>
      <w:rPr>
        <w:rFonts w:hint="eastAsia"/>
      </w:rPr>
    </w:lvl>
    <w:lvl w:ilvl="3" w:tentative="0">
      <w:start w:val="1"/>
      <w:numFmt w:val="decimal"/>
      <w:lvlText w:val="%4."/>
      <w:lvlJc w:val="left"/>
      <w:pPr>
        <w:ind w:left="2162" w:hanging="420"/>
      </w:pPr>
      <w:rPr>
        <w:rFonts w:hint="eastAsia"/>
      </w:rPr>
    </w:lvl>
    <w:lvl w:ilvl="4" w:tentative="0">
      <w:start w:val="1"/>
      <w:numFmt w:val="lowerLetter"/>
      <w:lvlText w:val="%5)"/>
      <w:lvlJc w:val="left"/>
      <w:pPr>
        <w:ind w:left="2582" w:hanging="420"/>
      </w:pPr>
      <w:rPr>
        <w:rFonts w:hint="eastAsia"/>
      </w:rPr>
    </w:lvl>
    <w:lvl w:ilvl="5" w:tentative="0">
      <w:start w:val="1"/>
      <w:numFmt w:val="lowerRoman"/>
      <w:lvlText w:val="%6."/>
      <w:lvlJc w:val="right"/>
      <w:pPr>
        <w:ind w:left="3002" w:hanging="420"/>
      </w:pPr>
      <w:rPr>
        <w:rFonts w:hint="eastAsia"/>
      </w:rPr>
    </w:lvl>
    <w:lvl w:ilvl="6" w:tentative="0">
      <w:start w:val="1"/>
      <w:numFmt w:val="decimal"/>
      <w:lvlText w:val="%7."/>
      <w:lvlJc w:val="left"/>
      <w:pPr>
        <w:ind w:left="3422" w:hanging="420"/>
      </w:pPr>
      <w:rPr>
        <w:rFonts w:hint="eastAsia"/>
      </w:rPr>
    </w:lvl>
    <w:lvl w:ilvl="7" w:tentative="0">
      <w:start w:val="1"/>
      <w:numFmt w:val="lowerLetter"/>
      <w:lvlText w:val="%8)"/>
      <w:lvlJc w:val="left"/>
      <w:pPr>
        <w:ind w:left="3842" w:hanging="420"/>
      </w:pPr>
      <w:rPr>
        <w:rFonts w:hint="eastAsia"/>
      </w:rPr>
    </w:lvl>
    <w:lvl w:ilvl="8" w:tentative="0">
      <w:start w:val="1"/>
      <w:numFmt w:val="lowerRoman"/>
      <w:lvlText w:val="%9."/>
      <w:lvlJc w:val="right"/>
      <w:pPr>
        <w:ind w:left="4262" w:hanging="420"/>
      </w:pPr>
      <w:rPr>
        <w:rFonts w:hint="eastAsia"/>
      </w:rPr>
    </w:lvl>
  </w:abstractNum>
  <w:abstractNum w:abstractNumId="146">
    <w:nsid w:val="7C465C5B"/>
    <w:multiLevelType w:val="singleLevel"/>
    <w:tmpl w:val="7C465C5B"/>
    <w:lvl w:ilvl="0" w:tentative="0">
      <w:start w:val="1"/>
      <w:numFmt w:val="decimal"/>
      <w:pStyle w:val="41"/>
      <w:lvlText w:val="图%1."/>
      <w:lvlJc w:val="left"/>
      <w:pPr>
        <w:tabs>
          <w:tab w:val="left" w:pos="425"/>
        </w:tabs>
        <w:ind w:left="425" w:hanging="425"/>
      </w:pPr>
    </w:lvl>
  </w:abstractNum>
  <w:abstractNum w:abstractNumId="147">
    <w:nsid w:val="7DC23F8B"/>
    <w:multiLevelType w:val="multilevel"/>
    <w:tmpl w:val="7DC23F8B"/>
    <w:lvl w:ilvl="0" w:tentative="0">
      <w:start w:val="1"/>
      <w:numFmt w:val="japaneseCounting"/>
      <w:pStyle w:val="1283"/>
      <w:lvlText w:val="第%1章"/>
      <w:lvlJc w:val="left"/>
      <w:pPr>
        <w:tabs>
          <w:tab w:val="left" w:pos="425"/>
        </w:tabs>
        <w:ind w:left="425" w:hanging="425"/>
      </w:pPr>
      <w:rPr>
        <w:rFonts w:hint="eastAsia"/>
        <w:b/>
        <w:sz w:val="44"/>
        <w:szCs w:val="44"/>
      </w:rPr>
    </w:lvl>
    <w:lvl w:ilvl="1" w:tentative="0">
      <w:start w:val="1"/>
      <w:numFmt w:val="decimal"/>
      <w:pStyle w:val="1284"/>
      <w:isLgl/>
      <w:lvlText w:val="%1.%2"/>
      <w:lvlJc w:val="left"/>
      <w:pPr>
        <w:tabs>
          <w:tab w:val="left" w:pos="567"/>
        </w:tabs>
        <w:ind w:left="567" w:hanging="567"/>
      </w:pPr>
      <w:rPr>
        <w:rFonts w:hint="eastAsia"/>
      </w:rPr>
    </w:lvl>
    <w:lvl w:ilvl="2" w:tentative="0">
      <w:start w:val="1"/>
      <w:numFmt w:val="decimal"/>
      <w:pStyle w:val="1285"/>
      <w:isLgl/>
      <w:lvlText w:val="%1.%2.%3"/>
      <w:lvlJc w:val="left"/>
      <w:pPr>
        <w:tabs>
          <w:tab w:val="left" w:pos="709"/>
        </w:tabs>
        <w:ind w:left="709" w:hanging="709"/>
      </w:pPr>
      <w:rPr>
        <w:rFonts w:hint="eastAsia"/>
      </w:rPr>
    </w:lvl>
    <w:lvl w:ilvl="3" w:tentative="0">
      <w:start w:val="1"/>
      <w:numFmt w:val="decimal"/>
      <w:pStyle w:val="1286"/>
      <w:isLgl/>
      <w:lvlText w:val="%1.%2.%3.%4"/>
      <w:lvlJc w:val="left"/>
      <w:pPr>
        <w:tabs>
          <w:tab w:val="left" w:pos="851"/>
        </w:tabs>
        <w:ind w:left="851" w:hanging="851"/>
      </w:pPr>
      <w:rPr>
        <w:rFonts w:hint="eastAsia"/>
        <w:sz w:val="28"/>
        <w:szCs w:val="28"/>
      </w:rPr>
    </w:lvl>
    <w:lvl w:ilvl="4" w:tentative="0">
      <w:start w:val="1"/>
      <w:numFmt w:val="decimal"/>
      <w:pStyle w:val="1287"/>
      <w:isLgl/>
      <w:lvlText w:val="%1.%2.%3.%4.%5"/>
      <w:lvlJc w:val="left"/>
      <w:pPr>
        <w:tabs>
          <w:tab w:val="left" w:pos="992"/>
        </w:tabs>
        <w:ind w:left="992" w:hanging="992"/>
      </w:pPr>
      <w:rPr>
        <w:rFonts w:hint="eastAsia"/>
        <w:sz w:val="28"/>
        <w:szCs w:val="28"/>
      </w:rPr>
    </w:lvl>
    <w:lvl w:ilvl="5" w:tentative="0">
      <w:start w:val="1"/>
      <w:numFmt w:val="decimal"/>
      <w:isLgl/>
      <w:lvlText w:val="%1.%2.%3.%4.%5.%6"/>
      <w:lvlJc w:val="left"/>
      <w:pPr>
        <w:tabs>
          <w:tab w:val="left" w:pos="1134"/>
        </w:tabs>
        <w:ind w:left="1134" w:hanging="1134"/>
      </w:pPr>
      <w:rPr>
        <w:rFonts w:hint="eastAsia"/>
      </w:rPr>
    </w:lvl>
    <w:lvl w:ilvl="6" w:tentative="0">
      <w:start w:val="1"/>
      <w:numFmt w:val="decimal"/>
      <w:isLgl/>
      <w:lvlText w:val="%1.%2.%3.%4.%5.%6.%7"/>
      <w:lvlJc w:val="left"/>
      <w:pPr>
        <w:tabs>
          <w:tab w:val="left" w:pos="1276"/>
        </w:tabs>
        <w:ind w:left="1276" w:hanging="1276"/>
      </w:pPr>
      <w:rPr>
        <w:rFonts w:hint="eastAsia"/>
      </w:rPr>
    </w:lvl>
    <w:lvl w:ilvl="7" w:tentative="0">
      <w:start w:val="1"/>
      <w:numFmt w:val="decimal"/>
      <w:isLgl/>
      <w:lvlText w:val="%1.%2.%3.%4.%5.%6.%7.%8"/>
      <w:lvlJc w:val="left"/>
      <w:pPr>
        <w:tabs>
          <w:tab w:val="left" w:pos="1418"/>
        </w:tabs>
        <w:ind w:left="1418" w:hanging="1418"/>
      </w:pPr>
      <w:rPr>
        <w:rFonts w:hint="eastAsia"/>
      </w:rPr>
    </w:lvl>
    <w:lvl w:ilvl="8" w:tentative="0">
      <w:start w:val="1"/>
      <w:numFmt w:val="decimal"/>
      <w:isLgl/>
      <w:lvlText w:val="%1.%2.%3.%4.%5.%6.%7.%8.%9"/>
      <w:lvlJc w:val="left"/>
      <w:pPr>
        <w:tabs>
          <w:tab w:val="left" w:pos="1559"/>
        </w:tabs>
        <w:ind w:left="1559" w:hanging="1559"/>
      </w:pPr>
      <w:rPr>
        <w:rFonts w:hint="eastAsia"/>
      </w:rPr>
    </w:lvl>
  </w:abstractNum>
  <w:abstractNum w:abstractNumId="148">
    <w:nsid w:val="7EF84AB8"/>
    <w:multiLevelType w:val="multilevel"/>
    <w:tmpl w:val="7EF84AB8"/>
    <w:lvl w:ilvl="0" w:tentative="0">
      <w:start w:val="1"/>
      <w:numFmt w:val="decimal"/>
      <w:suff w:val="nothing"/>
      <w:lvlText w:val="%1、"/>
      <w:lvlJc w:val="left"/>
      <w:pPr>
        <w:ind w:left="0" w:firstLine="0"/>
      </w:pPr>
      <w:rPr>
        <w:rFonts w:hint="default" w:ascii="宋体" w:hAnsi="宋体" w:eastAsia="宋体"/>
      </w:rPr>
    </w:lvl>
    <w:lvl w:ilvl="1" w:tentative="0">
      <w:start w:val="1"/>
      <w:numFmt w:val="decimal"/>
      <w:lvlText w:val="（%2）"/>
      <w:lvlJc w:val="left"/>
      <w:pPr>
        <w:ind w:left="1485" w:hanging="1065"/>
      </w:pPr>
      <w:rPr>
        <w:rFonts w:hint="default" w:cs="Times New Roman"/>
        <w:lang w:val="en-US"/>
      </w:rPr>
    </w:lvl>
    <w:lvl w:ilvl="2" w:tentative="0">
      <w:start w:val="1"/>
      <w:numFmt w:val="decimal"/>
      <w:lvlText w:val="%3、"/>
      <w:lvlJc w:val="left"/>
      <w:pPr>
        <w:ind w:left="1560" w:hanging="720"/>
      </w:pPr>
      <w:rPr>
        <w:rFonts w:hint="default"/>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49">
    <w:nsid w:val="7F773C35"/>
    <w:multiLevelType w:val="multilevel"/>
    <w:tmpl w:val="7F773C35"/>
    <w:lvl w:ilvl="0" w:tentative="0">
      <w:start w:val="1"/>
      <w:numFmt w:val="bullet"/>
      <w:pStyle w:val="351"/>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40"/>
  </w:num>
  <w:num w:numId="2">
    <w:abstractNumId w:val="122"/>
  </w:num>
  <w:num w:numId="3">
    <w:abstractNumId w:val="3"/>
  </w:num>
  <w:num w:numId="4">
    <w:abstractNumId w:val="61"/>
  </w:num>
  <w:num w:numId="5">
    <w:abstractNumId w:val="146"/>
  </w:num>
  <w:num w:numId="6">
    <w:abstractNumId w:val="1"/>
  </w:num>
  <w:num w:numId="7">
    <w:abstractNumId w:val="10"/>
  </w:num>
  <w:num w:numId="8">
    <w:abstractNumId w:val="44"/>
  </w:num>
  <w:num w:numId="9">
    <w:abstractNumId w:val="35"/>
  </w:num>
  <w:num w:numId="10">
    <w:abstractNumId w:val="42"/>
  </w:num>
  <w:num w:numId="11">
    <w:abstractNumId w:val="149"/>
  </w:num>
  <w:num w:numId="12">
    <w:abstractNumId w:val="41"/>
  </w:num>
  <w:num w:numId="13">
    <w:abstractNumId w:val="127"/>
  </w:num>
  <w:num w:numId="14">
    <w:abstractNumId w:val="5"/>
  </w:num>
  <w:num w:numId="15">
    <w:abstractNumId w:val="4"/>
  </w:num>
  <w:num w:numId="16">
    <w:abstractNumId w:val="135"/>
  </w:num>
  <w:num w:numId="17">
    <w:abstractNumId w:val="88"/>
  </w:num>
  <w:num w:numId="18">
    <w:abstractNumId w:val="76"/>
  </w:num>
  <w:num w:numId="19">
    <w:abstractNumId w:val="110"/>
  </w:num>
  <w:num w:numId="20">
    <w:abstractNumId w:val="78"/>
  </w:num>
  <w:num w:numId="21">
    <w:abstractNumId w:val="94"/>
  </w:num>
  <w:num w:numId="22">
    <w:abstractNumId w:val="79"/>
  </w:num>
  <w:num w:numId="23">
    <w:abstractNumId w:val="29"/>
  </w:num>
  <w:num w:numId="24">
    <w:abstractNumId w:val="82"/>
  </w:num>
  <w:num w:numId="25">
    <w:abstractNumId w:val="12"/>
  </w:num>
  <w:num w:numId="26">
    <w:abstractNumId w:val="14"/>
  </w:num>
  <w:num w:numId="27">
    <w:abstractNumId w:val="30"/>
  </w:num>
  <w:num w:numId="28">
    <w:abstractNumId w:val="8"/>
  </w:num>
  <w:num w:numId="29">
    <w:abstractNumId w:val="104"/>
  </w:num>
  <w:num w:numId="30">
    <w:abstractNumId w:val="134"/>
  </w:num>
  <w:num w:numId="31">
    <w:abstractNumId w:val="2"/>
  </w:num>
  <w:num w:numId="32">
    <w:abstractNumId w:val="111"/>
  </w:num>
  <w:num w:numId="33">
    <w:abstractNumId w:val="119"/>
  </w:num>
  <w:num w:numId="34">
    <w:abstractNumId w:val="128"/>
  </w:num>
  <w:num w:numId="35">
    <w:abstractNumId w:val="67"/>
  </w:num>
  <w:num w:numId="36">
    <w:abstractNumId w:val="58"/>
  </w:num>
  <w:num w:numId="37">
    <w:abstractNumId w:val="92"/>
  </w:num>
  <w:num w:numId="38">
    <w:abstractNumId w:val="11"/>
  </w:num>
  <w:num w:numId="39">
    <w:abstractNumId w:val="85"/>
  </w:num>
  <w:num w:numId="40">
    <w:abstractNumId w:val="68"/>
  </w:num>
  <w:num w:numId="41">
    <w:abstractNumId w:val="15"/>
  </w:num>
  <w:num w:numId="42">
    <w:abstractNumId w:val="74"/>
  </w:num>
  <w:num w:numId="43">
    <w:abstractNumId w:val="105"/>
  </w:num>
  <w:num w:numId="44">
    <w:abstractNumId w:val="28"/>
  </w:num>
  <w:num w:numId="45">
    <w:abstractNumId w:val="63"/>
  </w:num>
  <w:num w:numId="46">
    <w:abstractNumId w:val="69"/>
  </w:num>
  <w:num w:numId="47">
    <w:abstractNumId w:val="109"/>
  </w:num>
  <w:num w:numId="48">
    <w:abstractNumId w:val="129"/>
  </w:num>
  <w:num w:numId="49">
    <w:abstractNumId w:val="60"/>
  </w:num>
  <w:num w:numId="50">
    <w:abstractNumId w:val="33"/>
  </w:num>
  <w:num w:numId="51">
    <w:abstractNumId w:val="147"/>
  </w:num>
  <w:num w:numId="52">
    <w:abstractNumId w:val="125"/>
  </w:num>
  <w:num w:numId="53">
    <w:abstractNumId w:val="13"/>
  </w:num>
  <w:num w:numId="54">
    <w:abstractNumId w:val="17"/>
  </w:num>
  <w:num w:numId="55">
    <w:abstractNumId w:val="83"/>
  </w:num>
  <w:num w:numId="56">
    <w:abstractNumId w:val="20"/>
  </w:num>
  <w:num w:numId="57">
    <w:abstractNumId w:val="19"/>
  </w:num>
  <w:num w:numId="5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98"/>
  </w:num>
  <w:num w:numId="60">
    <w:abstractNumId w:val="37"/>
  </w:num>
  <w:num w:numId="61">
    <w:abstractNumId w:val="107"/>
  </w:num>
  <w:num w:numId="62">
    <w:abstractNumId w:val="48"/>
  </w:num>
  <w:num w:numId="63">
    <w:abstractNumId w:val="81"/>
  </w:num>
  <w:num w:numId="64">
    <w:abstractNumId w:val="139"/>
  </w:num>
  <w:num w:numId="65">
    <w:abstractNumId w:val="32"/>
  </w:num>
  <w:num w:numId="66">
    <w:abstractNumId w:val="50"/>
  </w:num>
  <w:num w:numId="67">
    <w:abstractNumId w:val="148"/>
  </w:num>
  <w:num w:numId="68">
    <w:abstractNumId w:val="124"/>
  </w:num>
  <w:num w:numId="69">
    <w:abstractNumId w:val="126"/>
  </w:num>
  <w:num w:numId="70">
    <w:abstractNumId w:val="62"/>
  </w:num>
  <w:num w:numId="71">
    <w:abstractNumId w:val="113"/>
  </w:num>
  <w:num w:numId="7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02"/>
  </w:num>
  <w:num w:numId="74">
    <w:abstractNumId w:val="144"/>
  </w:num>
  <w:num w:numId="75">
    <w:abstractNumId w:val="115"/>
  </w:num>
  <w:num w:numId="76">
    <w:abstractNumId w:val="47"/>
  </w:num>
  <w:num w:numId="77">
    <w:abstractNumId w:val="84"/>
  </w:num>
  <w:num w:numId="78">
    <w:abstractNumId w:val="80"/>
  </w:num>
  <w:num w:numId="79">
    <w:abstractNumId w:val="52"/>
  </w:num>
  <w:num w:numId="80">
    <w:abstractNumId w:val="116"/>
  </w:num>
  <w:num w:numId="81">
    <w:abstractNumId w:val="16"/>
  </w:num>
  <w:num w:numId="82">
    <w:abstractNumId w:val="86"/>
  </w:num>
  <w:num w:numId="83">
    <w:abstractNumId w:val="114"/>
  </w:num>
  <w:num w:numId="84">
    <w:abstractNumId w:val="112"/>
  </w:num>
  <w:num w:numId="85">
    <w:abstractNumId w:val="36"/>
  </w:num>
  <w:num w:numId="86">
    <w:abstractNumId w:val="99"/>
  </w:num>
  <w:num w:numId="87">
    <w:abstractNumId w:val="38"/>
  </w:num>
  <w:num w:numId="88">
    <w:abstractNumId w:val="0"/>
  </w:num>
  <w:num w:numId="89">
    <w:abstractNumId w:val="117"/>
  </w:num>
  <w:num w:numId="90">
    <w:abstractNumId w:val="21"/>
  </w:num>
  <w:num w:numId="91">
    <w:abstractNumId w:val="23"/>
  </w:num>
  <w:num w:numId="92">
    <w:abstractNumId w:val="45"/>
  </w:num>
  <w:num w:numId="93">
    <w:abstractNumId w:val="90"/>
  </w:num>
  <w:num w:numId="94">
    <w:abstractNumId w:val="56"/>
  </w:num>
  <w:num w:numId="95">
    <w:abstractNumId w:val="96"/>
  </w:num>
  <w:num w:numId="96">
    <w:abstractNumId w:val="72"/>
  </w:num>
  <w:num w:numId="97">
    <w:abstractNumId w:val="24"/>
  </w:num>
  <w:num w:numId="98">
    <w:abstractNumId w:val="123"/>
  </w:num>
  <w:num w:numId="99">
    <w:abstractNumId w:val="77"/>
  </w:num>
  <w:num w:numId="100">
    <w:abstractNumId w:val="142"/>
  </w:num>
  <w:num w:numId="101">
    <w:abstractNumId w:val="6"/>
  </w:num>
  <w:num w:numId="102">
    <w:abstractNumId w:val="133"/>
  </w:num>
  <w:num w:numId="103">
    <w:abstractNumId w:val="27"/>
  </w:num>
  <w:num w:numId="104">
    <w:abstractNumId w:val="57"/>
  </w:num>
  <w:num w:numId="105">
    <w:abstractNumId w:val="145"/>
  </w:num>
  <w:num w:numId="106">
    <w:abstractNumId w:val="108"/>
  </w:num>
  <w:num w:numId="107">
    <w:abstractNumId w:val="59"/>
  </w:num>
  <w:num w:numId="108">
    <w:abstractNumId w:val="9"/>
  </w:num>
  <w:num w:numId="109">
    <w:abstractNumId w:val="70"/>
  </w:num>
  <w:num w:numId="110">
    <w:abstractNumId w:val="26"/>
  </w:num>
  <w:num w:numId="111">
    <w:abstractNumId w:val="43"/>
  </w:num>
  <w:num w:numId="112">
    <w:abstractNumId w:val="55"/>
  </w:num>
  <w:num w:numId="113">
    <w:abstractNumId w:val="73"/>
  </w:num>
  <w:num w:numId="114">
    <w:abstractNumId w:val="75"/>
  </w:num>
  <w:num w:numId="115">
    <w:abstractNumId w:val="91"/>
  </w:num>
  <w:num w:numId="116">
    <w:abstractNumId w:val="132"/>
  </w:num>
  <w:num w:numId="117">
    <w:abstractNumId w:val="7"/>
  </w:num>
  <w:num w:numId="118">
    <w:abstractNumId w:val="136"/>
  </w:num>
  <w:num w:numId="119">
    <w:abstractNumId w:val="121"/>
  </w:num>
  <w:num w:numId="120">
    <w:abstractNumId w:val="22"/>
  </w:num>
  <w:num w:numId="121">
    <w:abstractNumId w:val="106"/>
  </w:num>
  <w:num w:numId="122">
    <w:abstractNumId w:val="51"/>
  </w:num>
  <w:num w:numId="123">
    <w:abstractNumId w:val="103"/>
  </w:num>
  <w:num w:numId="124">
    <w:abstractNumId w:val="95"/>
  </w:num>
  <w:num w:numId="125">
    <w:abstractNumId w:val="49"/>
  </w:num>
  <w:num w:numId="126">
    <w:abstractNumId w:val="65"/>
  </w:num>
  <w:num w:numId="127">
    <w:abstractNumId w:val="120"/>
  </w:num>
  <w:num w:numId="128">
    <w:abstractNumId w:val="71"/>
  </w:num>
  <w:num w:numId="129">
    <w:abstractNumId w:val="46"/>
  </w:num>
  <w:num w:numId="130">
    <w:abstractNumId w:val="66"/>
  </w:num>
  <w:num w:numId="131">
    <w:abstractNumId w:val="34"/>
  </w:num>
  <w:num w:numId="132">
    <w:abstractNumId w:val="39"/>
  </w:num>
  <w:num w:numId="133">
    <w:abstractNumId w:val="100"/>
  </w:num>
  <w:num w:numId="134">
    <w:abstractNumId w:val="118"/>
  </w:num>
  <w:num w:numId="135">
    <w:abstractNumId w:val="97"/>
  </w:num>
  <w:num w:numId="136">
    <w:abstractNumId w:val="141"/>
  </w:num>
  <w:num w:numId="137">
    <w:abstractNumId w:val="131"/>
  </w:num>
  <w:num w:numId="138">
    <w:abstractNumId w:val="143"/>
  </w:num>
  <w:num w:numId="139">
    <w:abstractNumId w:val="89"/>
  </w:num>
  <w:num w:numId="140">
    <w:abstractNumId w:val="53"/>
  </w:num>
  <w:num w:numId="141">
    <w:abstractNumId w:val="101"/>
  </w:num>
  <w:num w:numId="142">
    <w:abstractNumId w:val="18"/>
  </w:num>
  <w:num w:numId="143">
    <w:abstractNumId w:val="130"/>
  </w:num>
  <w:num w:numId="144">
    <w:abstractNumId w:val="137"/>
  </w:num>
  <w:num w:numId="145">
    <w:abstractNumId w:val="54"/>
  </w:num>
  <w:num w:numId="146">
    <w:abstractNumId w:val="93"/>
  </w:num>
  <w:num w:numId="147">
    <w:abstractNumId w:val="25"/>
  </w:num>
  <w:num w:numId="148">
    <w:abstractNumId w:val="138"/>
  </w:num>
  <w:num w:numId="149">
    <w:abstractNumId w:val="87"/>
  </w:num>
  <w:num w:numId="150">
    <w:abstractNumId w:val="64"/>
  </w:num>
  <w:num w:numId="151">
    <w:abstractNumId w:val="140"/>
  </w:num>
  <w:num w:numId="15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hideSpellingError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HorizontalSpacing w:val="241"/>
  <w:drawingGridVerticalSpacing w:val="218"/>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liMDM5NTgxNjM0ODkwN2UyNTdlN2MxNzE4ZTYzMjEifQ=="/>
  </w:docVars>
  <w:rsids>
    <w:rsidRoot w:val="003D1194"/>
    <w:rsid w:val="000001A1"/>
    <w:rsid w:val="000003C3"/>
    <w:rsid w:val="00000593"/>
    <w:rsid w:val="0000063B"/>
    <w:rsid w:val="0000078B"/>
    <w:rsid w:val="000007CB"/>
    <w:rsid w:val="000008DD"/>
    <w:rsid w:val="000009BB"/>
    <w:rsid w:val="00000C14"/>
    <w:rsid w:val="000012B7"/>
    <w:rsid w:val="000012CA"/>
    <w:rsid w:val="000012EC"/>
    <w:rsid w:val="000014B0"/>
    <w:rsid w:val="00001576"/>
    <w:rsid w:val="0000186E"/>
    <w:rsid w:val="000018B8"/>
    <w:rsid w:val="00001B25"/>
    <w:rsid w:val="00001CAF"/>
    <w:rsid w:val="00001EB9"/>
    <w:rsid w:val="00001FFF"/>
    <w:rsid w:val="000020EC"/>
    <w:rsid w:val="000021CF"/>
    <w:rsid w:val="000023F8"/>
    <w:rsid w:val="00002415"/>
    <w:rsid w:val="00002509"/>
    <w:rsid w:val="000025D7"/>
    <w:rsid w:val="00002755"/>
    <w:rsid w:val="0000288E"/>
    <w:rsid w:val="00002A72"/>
    <w:rsid w:val="00002DAD"/>
    <w:rsid w:val="00002FDC"/>
    <w:rsid w:val="00003142"/>
    <w:rsid w:val="00003536"/>
    <w:rsid w:val="000037DA"/>
    <w:rsid w:val="000037E2"/>
    <w:rsid w:val="0000381E"/>
    <w:rsid w:val="00003839"/>
    <w:rsid w:val="00003AA1"/>
    <w:rsid w:val="00003AA7"/>
    <w:rsid w:val="00003C26"/>
    <w:rsid w:val="00003D3B"/>
    <w:rsid w:val="00003D46"/>
    <w:rsid w:val="00003EB4"/>
    <w:rsid w:val="00003F45"/>
    <w:rsid w:val="00003F6C"/>
    <w:rsid w:val="000040D9"/>
    <w:rsid w:val="00004122"/>
    <w:rsid w:val="000041DE"/>
    <w:rsid w:val="00004660"/>
    <w:rsid w:val="00004814"/>
    <w:rsid w:val="00004AAF"/>
    <w:rsid w:val="00004B6A"/>
    <w:rsid w:val="00004BC9"/>
    <w:rsid w:val="00004C71"/>
    <w:rsid w:val="00004F7F"/>
    <w:rsid w:val="00004FEE"/>
    <w:rsid w:val="00005199"/>
    <w:rsid w:val="000051A1"/>
    <w:rsid w:val="000051F0"/>
    <w:rsid w:val="00005325"/>
    <w:rsid w:val="0000534B"/>
    <w:rsid w:val="00005494"/>
    <w:rsid w:val="000055DD"/>
    <w:rsid w:val="00005621"/>
    <w:rsid w:val="000056B6"/>
    <w:rsid w:val="00005803"/>
    <w:rsid w:val="0000583A"/>
    <w:rsid w:val="000058BD"/>
    <w:rsid w:val="0000594D"/>
    <w:rsid w:val="0000594F"/>
    <w:rsid w:val="00005A39"/>
    <w:rsid w:val="00005A79"/>
    <w:rsid w:val="00005BAA"/>
    <w:rsid w:val="00005C0A"/>
    <w:rsid w:val="00005C55"/>
    <w:rsid w:val="00005D1E"/>
    <w:rsid w:val="00005D79"/>
    <w:rsid w:val="000060F5"/>
    <w:rsid w:val="00006180"/>
    <w:rsid w:val="00006252"/>
    <w:rsid w:val="0000643B"/>
    <w:rsid w:val="00006480"/>
    <w:rsid w:val="000064C9"/>
    <w:rsid w:val="00006583"/>
    <w:rsid w:val="000065EA"/>
    <w:rsid w:val="0000684A"/>
    <w:rsid w:val="00006914"/>
    <w:rsid w:val="00006B86"/>
    <w:rsid w:val="00006C13"/>
    <w:rsid w:val="00006DBE"/>
    <w:rsid w:val="00006E89"/>
    <w:rsid w:val="0000700B"/>
    <w:rsid w:val="0000702A"/>
    <w:rsid w:val="00007045"/>
    <w:rsid w:val="0000709C"/>
    <w:rsid w:val="0000717F"/>
    <w:rsid w:val="0000734A"/>
    <w:rsid w:val="000074CF"/>
    <w:rsid w:val="00007596"/>
    <w:rsid w:val="000075C9"/>
    <w:rsid w:val="00007681"/>
    <w:rsid w:val="0000777D"/>
    <w:rsid w:val="00007AF0"/>
    <w:rsid w:val="00007B0A"/>
    <w:rsid w:val="00007CA0"/>
    <w:rsid w:val="00007F76"/>
    <w:rsid w:val="000102E8"/>
    <w:rsid w:val="00010469"/>
    <w:rsid w:val="00010471"/>
    <w:rsid w:val="000104A3"/>
    <w:rsid w:val="0001071B"/>
    <w:rsid w:val="000107F7"/>
    <w:rsid w:val="00010839"/>
    <w:rsid w:val="00010929"/>
    <w:rsid w:val="00010A06"/>
    <w:rsid w:val="00010ADC"/>
    <w:rsid w:val="00010C44"/>
    <w:rsid w:val="00010DC5"/>
    <w:rsid w:val="00010F89"/>
    <w:rsid w:val="00010F8F"/>
    <w:rsid w:val="00010FE5"/>
    <w:rsid w:val="0001165F"/>
    <w:rsid w:val="000116B3"/>
    <w:rsid w:val="000116F3"/>
    <w:rsid w:val="0001175D"/>
    <w:rsid w:val="000118C7"/>
    <w:rsid w:val="00011900"/>
    <w:rsid w:val="00011907"/>
    <w:rsid w:val="000119F5"/>
    <w:rsid w:val="00011A01"/>
    <w:rsid w:val="00011B19"/>
    <w:rsid w:val="00011D9B"/>
    <w:rsid w:val="00011FBB"/>
    <w:rsid w:val="0001207F"/>
    <w:rsid w:val="000123AD"/>
    <w:rsid w:val="0001241B"/>
    <w:rsid w:val="000124C3"/>
    <w:rsid w:val="000125C7"/>
    <w:rsid w:val="0001282E"/>
    <w:rsid w:val="00012957"/>
    <w:rsid w:val="000129D6"/>
    <w:rsid w:val="00012B05"/>
    <w:rsid w:val="00012B99"/>
    <w:rsid w:val="00012D41"/>
    <w:rsid w:val="00012DCC"/>
    <w:rsid w:val="00012DFC"/>
    <w:rsid w:val="00012EAB"/>
    <w:rsid w:val="00012F21"/>
    <w:rsid w:val="00012F8F"/>
    <w:rsid w:val="0001304F"/>
    <w:rsid w:val="000130AD"/>
    <w:rsid w:val="00013191"/>
    <w:rsid w:val="000132EE"/>
    <w:rsid w:val="000133ED"/>
    <w:rsid w:val="000136A8"/>
    <w:rsid w:val="000136CD"/>
    <w:rsid w:val="000136EC"/>
    <w:rsid w:val="00013ACB"/>
    <w:rsid w:val="00013C3D"/>
    <w:rsid w:val="00013D79"/>
    <w:rsid w:val="00013EBF"/>
    <w:rsid w:val="00014160"/>
    <w:rsid w:val="00014297"/>
    <w:rsid w:val="0001442C"/>
    <w:rsid w:val="000144FA"/>
    <w:rsid w:val="00014517"/>
    <w:rsid w:val="00014669"/>
    <w:rsid w:val="000146FC"/>
    <w:rsid w:val="00014842"/>
    <w:rsid w:val="00014866"/>
    <w:rsid w:val="0001494C"/>
    <w:rsid w:val="00014A6A"/>
    <w:rsid w:val="00014BFF"/>
    <w:rsid w:val="00014D29"/>
    <w:rsid w:val="000152EF"/>
    <w:rsid w:val="0001548F"/>
    <w:rsid w:val="000155A7"/>
    <w:rsid w:val="000155D3"/>
    <w:rsid w:val="0001566C"/>
    <w:rsid w:val="0001568C"/>
    <w:rsid w:val="00015B25"/>
    <w:rsid w:val="00015B32"/>
    <w:rsid w:val="00015BEE"/>
    <w:rsid w:val="00015CD3"/>
    <w:rsid w:val="00015F7F"/>
    <w:rsid w:val="00015FE1"/>
    <w:rsid w:val="00016417"/>
    <w:rsid w:val="00016463"/>
    <w:rsid w:val="00016545"/>
    <w:rsid w:val="000165A8"/>
    <w:rsid w:val="00016615"/>
    <w:rsid w:val="0001670A"/>
    <w:rsid w:val="000167B3"/>
    <w:rsid w:val="00016838"/>
    <w:rsid w:val="00016B28"/>
    <w:rsid w:val="00016D21"/>
    <w:rsid w:val="00016D2A"/>
    <w:rsid w:val="00016FE1"/>
    <w:rsid w:val="0001720B"/>
    <w:rsid w:val="000178BF"/>
    <w:rsid w:val="000179A1"/>
    <w:rsid w:val="000179B5"/>
    <w:rsid w:val="00017B80"/>
    <w:rsid w:val="00017D02"/>
    <w:rsid w:val="00017FEE"/>
    <w:rsid w:val="000200A7"/>
    <w:rsid w:val="000201C6"/>
    <w:rsid w:val="00020229"/>
    <w:rsid w:val="0002035C"/>
    <w:rsid w:val="0002036D"/>
    <w:rsid w:val="00020384"/>
    <w:rsid w:val="000204C8"/>
    <w:rsid w:val="00020503"/>
    <w:rsid w:val="00020611"/>
    <w:rsid w:val="000207F6"/>
    <w:rsid w:val="00020835"/>
    <w:rsid w:val="00020837"/>
    <w:rsid w:val="000208A2"/>
    <w:rsid w:val="000208B8"/>
    <w:rsid w:val="0002090A"/>
    <w:rsid w:val="00020969"/>
    <w:rsid w:val="00020B38"/>
    <w:rsid w:val="00020B55"/>
    <w:rsid w:val="00020BA0"/>
    <w:rsid w:val="00020E6D"/>
    <w:rsid w:val="00020ECC"/>
    <w:rsid w:val="00020F08"/>
    <w:rsid w:val="00020F82"/>
    <w:rsid w:val="00021004"/>
    <w:rsid w:val="00021166"/>
    <w:rsid w:val="000212D6"/>
    <w:rsid w:val="000212F5"/>
    <w:rsid w:val="0002153A"/>
    <w:rsid w:val="000217DE"/>
    <w:rsid w:val="0002188D"/>
    <w:rsid w:val="00021A11"/>
    <w:rsid w:val="00021DEA"/>
    <w:rsid w:val="00021DF5"/>
    <w:rsid w:val="00021FBB"/>
    <w:rsid w:val="000222BB"/>
    <w:rsid w:val="00022441"/>
    <w:rsid w:val="0002245B"/>
    <w:rsid w:val="0002247F"/>
    <w:rsid w:val="000224F7"/>
    <w:rsid w:val="00022551"/>
    <w:rsid w:val="0002259E"/>
    <w:rsid w:val="000225CE"/>
    <w:rsid w:val="000226C4"/>
    <w:rsid w:val="0002288B"/>
    <w:rsid w:val="0002288E"/>
    <w:rsid w:val="00022C72"/>
    <w:rsid w:val="00022C76"/>
    <w:rsid w:val="00022DD6"/>
    <w:rsid w:val="0002305E"/>
    <w:rsid w:val="00023088"/>
    <w:rsid w:val="0002320D"/>
    <w:rsid w:val="000232DD"/>
    <w:rsid w:val="000234E8"/>
    <w:rsid w:val="0002368D"/>
    <w:rsid w:val="000236C3"/>
    <w:rsid w:val="0002397D"/>
    <w:rsid w:val="000239C9"/>
    <w:rsid w:val="00023AC0"/>
    <w:rsid w:val="00023CE6"/>
    <w:rsid w:val="000240E0"/>
    <w:rsid w:val="0002495A"/>
    <w:rsid w:val="000249C3"/>
    <w:rsid w:val="000249F7"/>
    <w:rsid w:val="00024A1F"/>
    <w:rsid w:val="00024A5D"/>
    <w:rsid w:val="00024B56"/>
    <w:rsid w:val="00024DF5"/>
    <w:rsid w:val="000250A5"/>
    <w:rsid w:val="00025153"/>
    <w:rsid w:val="00025373"/>
    <w:rsid w:val="000253DB"/>
    <w:rsid w:val="0002584B"/>
    <w:rsid w:val="0002591D"/>
    <w:rsid w:val="0002592A"/>
    <w:rsid w:val="0002597D"/>
    <w:rsid w:val="000259A0"/>
    <w:rsid w:val="000259B2"/>
    <w:rsid w:val="00025B76"/>
    <w:rsid w:val="00025C89"/>
    <w:rsid w:val="00025DA9"/>
    <w:rsid w:val="000260BB"/>
    <w:rsid w:val="00026162"/>
    <w:rsid w:val="000263B5"/>
    <w:rsid w:val="000267AE"/>
    <w:rsid w:val="000268D4"/>
    <w:rsid w:val="00026958"/>
    <w:rsid w:val="00026AA6"/>
    <w:rsid w:val="00026ABE"/>
    <w:rsid w:val="00026C48"/>
    <w:rsid w:val="00026C91"/>
    <w:rsid w:val="00026CD8"/>
    <w:rsid w:val="00026D7B"/>
    <w:rsid w:val="00026DBC"/>
    <w:rsid w:val="000271C2"/>
    <w:rsid w:val="00027238"/>
    <w:rsid w:val="00027361"/>
    <w:rsid w:val="00027376"/>
    <w:rsid w:val="00027674"/>
    <w:rsid w:val="000276CA"/>
    <w:rsid w:val="0002778A"/>
    <w:rsid w:val="000278F1"/>
    <w:rsid w:val="00027A31"/>
    <w:rsid w:val="00027B05"/>
    <w:rsid w:val="00027C16"/>
    <w:rsid w:val="00027C95"/>
    <w:rsid w:val="00027CA3"/>
    <w:rsid w:val="00027CD7"/>
    <w:rsid w:val="00027D55"/>
    <w:rsid w:val="00027E25"/>
    <w:rsid w:val="00030035"/>
    <w:rsid w:val="000301AB"/>
    <w:rsid w:val="000304A8"/>
    <w:rsid w:val="0003053D"/>
    <w:rsid w:val="00030604"/>
    <w:rsid w:val="0003061F"/>
    <w:rsid w:val="000306D4"/>
    <w:rsid w:val="000306D8"/>
    <w:rsid w:val="00030876"/>
    <w:rsid w:val="000308A8"/>
    <w:rsid w:val="000308DC"/>
    <w:rsid w:val="0003098E"/>
    <w:rsid w:val="000309BA"/>
    <w:rsid w:val="00030A19"/>
    <w:rsid w:val="00030C47"/>
    <w:rsid w:val="00030CA1"/>
    <w:rsid w:val="00030CF6"/>
    <w:rsid w:val="00030CFA"/>
    <w:rsid w:val="00030D06"/>
    <w:rsid w:val="00030E28"/>
    <w:rsid w:val="00030FCF"/>
    <w:rsid w:val="000310BC"/>
    <w:rsid w:val="00031179"/>
    <w:rsid w:val="000311F2"/>
    <w:rsid w:val="0003140D"/>
    <w:rsid w:val="00031886"/>
    <w:rsid w:val="00031937"/>
    <w:rsid w:val="00031952"/>
    <w:rsid w:val="000319BF"/>
    <w:rsid w:val="000319D4"/>
    <w:rsid w:val="000319FF"/>
    <w:rsid w:val="00031B85"/>
    <w:rsid w:val="00031B8A"/>
    <w:rsid w:val="00031BB1"/>
    <w:rsid w:val="00031D59"/>
    <w:rsid w:val="00031DF4"/>
    <w:rsid w:val="00031F4C"/>
    <w:rsid w:val="0003205C"/>
    <w:rsid w:val="0003222E"/>
    <w:rsid w:val="0003233A"/>
    <w:rsid w:val="00032424"/>
    <w:rsid w:val="00032434"/>
    <w:rsid w:val="000325D8"/>
    <w:rsid w:val="0003264F"/>
    <w:rsid w:val="00032789"/>
    <w:rsid w:val="00032952"/>
    <w:rsid w:val="00032A10"/>
    <w:rsid w:val="00032BD1"/>
    <w:rsid w:val="00032D1B"/>
    <w:rsid w:val="00032D77"/>
    <w:rsid w:val="00032E0D"/>
    <w:rsid w:val="00032ED4"/>
    <w:rsid w:val="00032F0B"/>
    <w:rsid w:val="000333CE"/>
    <w:rsid w:val="000333DA"/>
    <w:rsid w:val="000334AF"/>
    <w:rsid w:val="000334CC"/>
    <w:rsid w:val="0003359F"/>
    <w:rsid w:val="00033782"/>
    <w:rsid w:val="000337FA"/>
    <w:rsid w:val="000339E0"/>
    <w:rsid w:val="00033C38"/>
    <w:rsid w:val="00033D11"/>
    <w:rsid w:val="00033E18"/>
    <w:rsid w:val="00033F42"/>
    <w:rsid w:val="00034154"/>
    <w:rsid w:val="00034329"/>
    <w:rsid w:val="0003435A"/>
    <w:rsid w:val="00034368"/>
    <w:rsid w:val="00034416"/>
    <w:rsid w:val="000344E6"/>
    <w:rsid w:val="0003465E"/>
    <w:rsid w:val="000348DA"/>
    <w:rsid w:val="00034977"/>
    <w:rsid w:val="00034CE3"/>
    <w:rsid w:val="00034E66"/>
    <w:rsid w:val="00034F91"/>
    <w:rsid w:val="00035075"/>
    <w:rsid w:val="00035423"/>
    <w:rsid w:val="000354C6"/>
    <w:rsid w:val="00035746"/>
    <w:rsid w:val="00035811"/>
    <w:rsid w:val="000358B4"/>
    <w:rsid w:val="000359E9"/>
    <w:rsid w:val="00035A1D"/>
    <w:rsid w:val="00035A8B"/>
    <w:rsid w:val="00035AB5"/>
    <w:rsid w:val="00035C83"/>
    <w:rsid w:val="00035C84"/>
    <w:rsid w:val="00035C95"/>
    <w:rsid w:val="00035D7B"/>
    <w:rsid w:val="00035DC7"/>
    <w:rsid w:val="00035E30"/>
    <w:rsid w:val="00035EE4"/>
    <w:rsid w:val="00036086"/>
    <w:rsid w:val="00036111"/>
    <w:rsid w:val="0003625D"/>
    <w:rsid w:val="00036277"/>
    <w:rsid w:val="00036350"/>
    <w:rsid w:val="00036477"/>
    <w:rsid w:val="0003657E"/>
    <w:rsid w:val="0003661E"/>
    <w:rsid w:val="00036B77"/>
    <w:rsid w:val="00036B92"/>
    <w:rsid w:val="00036EA2"/>
    <w:rsid w:val="00036FCE"/>
    <w:rsid w:val="00037153"/>
    <w:rsid w:val="0003725C"/>
    <w:rsid w:val="00037466"/>
    <w:rsid w:val="000374C8"/>
    <w:rsid w:val="000375F1"/>
    <w:rsid w:val="000376FE"/>
    <w:rsid w:val="0003793C"/>
    <w:rsid w:val="00037BDF"/>
    <w:rsid w:val="00037C4F"/>
    <w:rsid w:val="00037C84"/>
    <w:rsid w:val="00037CB1"/>
    <w:rsid w:val="00037E85"/>
    <w:rsid w:val="00037EB2"/>
    <w:rsid w:val="000400CB"/>
    <w:rsid w:val="00040235"/>
    <w:rsid w:val="00040301"/>
    <w:rsid w:val="000405B7"/>
    <w:rsid w:val="0004060B"/>
    <w:rsid w:val="0004061C"/>
    <w:rsid w:val="000406A0"/>
    <w:rsid w:val="000406C2"/>
    <w:rsid w:val="00040715"/>
    <w:rsid w:val="0004073A"/>
    <w:rsid w:val="000407B7"/>
    <w:rsid w:val="00040869"/>
    <w:rsid w:val="000408ED"/>
    <w:rsid w:val="00040911"/>
    <w:rsid w:val="00040986"/>
    <w:rsid w:val="00040B52"/>
    <w:rsid w:val="00040D87"/>
    <w:rsid w:val="00040DDC"/>
    <w:rsid w:val="00040E54"/>
    <w:rsid w:val="00040EB2"/>
    <w:rsid w:val="00040F93"/>
    <w:rsid w:val="0004108E"/>
    <w:rsid w:val="00041218"/>
    <w:rsid w:val="000412BF"/>
    <w:rsid w:val="000412CC"/>
    <w:rsid w:val="0004137E"/>
    <w:rsid w:val="000413BE"/>
    <w:rsid w:val="000413C3"/>
    <w:rsid w:val="00041711"/>
    <w:rsid w:val="00041748"/>
    <w:rsid w:val="000418A5"/>
    <w:rsid w:val="000418C1"/>
    <w:rsid w:val="0004195D"/>
    <w:rsid w:val="000419C5"/>
    <w:rsid w:val="00041C99"/>
    <w:rsid w:val="00041CFD"/>
    <w:rsid w:val="00041D4B"/>
    <w:rsid w:val="00041F3C"/>
    <w:rsid w:val="00041F68"/>
    <w:rsid w:val="000421A1"/>
    <w:rsid w:val="00042227"/>
    <w:rsid w:val="00042402"/>
    <w:rsid w:val="00042480"/>
    <w:rsid w:val="000426BB"/>
    <w:rsid w:val="00042760"/>
    <w:rsid w:val="0004288D"/>
    <w:rsid w:val="0004291B"/>
    <w:rsid w:val="00042A51"/>
    <w:rsid w:val="00042CD5"/>
    <w:rsid w:val="00042F53"/>
    <w:rsid w:val="00042F89"/>
    <w:rsid w:val="00042FD9"/>
    <w:rsid w:val="0004303C"/>
    <w:rsid w:val="0004329B"/>
    <w:rsid w:val="000433D7"/>
    <w:rsid w:val="000434C2"/>
    <w:rsid w:val="000434FD"/>
    <w:rsid w:val="0004355D"/>
    <w:rsid w:val="000436AD"/>
    <w:rsid w:val="000436BD"/>
    <w:rsid w:val="0004375E"/>
    <w:rsid w:val="00043BB1"/>
    <w:rsid w:val="00043C7C"/>
    <w:rsid w:val="00043C9E"/>
    <w:rsid w:val="00043DAF"/>
    <w:rsid w:val="00044077"/>
    <w:rsid w:val="0004411E"/>
    <w:rsid w:val="000441A6"/>
    <w:rsid w:val="00044211"/>
    <w:rsid w:val="00044251"/>
    <w:rsid w:val="000442BC"/>
    <w:rsid w:val="00044350"/>
    <w:rsid w:val="00044650"/>
    <w:rsid w:val="00044A1F"/>
    <w:rsid w:val="00044BB3"/>
    <w:rsid w:val="00044BC4"/>
    <w:rsid w:val="00044BDD"/>
    <w:rsid w:val="00044C24"/>
    <w:rsid w:val="00044C57"/>
    <w:rsid w:val="00044C58"/>
    <w:rsid w:val="00044D9C"/>
    <w:rsid w:val="00044DE7"/>
    <w:rsid w:val="00044E3C"/>
    <w:rsid w:val="00044FF4"/>
    <w:rsid w:val="00045167"/>
    <w:rsid w:val="000451EC"/>
    <w:rsid w:val="000451F9"/>
    <w:rsid w:val="00045451"/>
    <w:rsid w:val="00045514"/>
    <w:rsid w:val="00045520"/>
    <w:rsid w:val="0004552D"/>
    <w:rsid w:val="00045566"/>
    <w:rsid w:val="00045686"/>
    <w:rsid w:val="000457A1"/>
    <w:rsid w:val="00045839"/>
    <w:rsid w:val="00045875"/>
    <w:rsid w:val="000458E6"/>
    <w:rsid w:val="000459B5"/>
    <w:rsid w:val="00045ADD"/>
    <w:rsid w:val="00045C12"/>
    <w:rsid w:val="00045C1E"/>
    <w:rsid w:val="00045EC3"/>
    <w:rsid w:val="00045EEC"/>
    <w:rsid w:val="00045FF6"/>
    <w:rsid w:val="000460CD"/>
    <w:rsid w:val="00046310"/>
    <w:rsid w:val="000464CE"/>
    <w:rsid w:val="000464FF"/>
    <w:rsid w:val="00046525"/>
    <w:rsid w:val="000467D0"/>
    <w:rsid w:val="000467D2"/>
    <w:rsid w:val="00046872"/>
    <w:rsid w:val="00046926"/>
    <w:rsid w:val="00046962"/>
    <w:rsid w:val="000469BE"/>
    <w:rsid w:val="00046A9C"/>
    <w:rsid w:val="00046C18"/>
    <w:rsid w:val="00046CFE"/>
    <w:rsid w:val="00046D44"/>
    <w:rsid w:val="00046DE0"/>
    <w:rsid w:val="00046DE5"/>
    <w:rsid w:val="00046E34"/>
    <w:rsid w:val="00046F9E"/>
    <w:rsid w:val="0004706F"/>
    <w:rsid w:val="000470E9"/>
    <w:rsid w:val="000470F0"/>
    <w:rsid w:val="00047140"/>
    <w:rsid w:val="00047194"/>
    <w:rsid w:val="000471DC"/>
    <w:rsid w:val="000475F0"/>
    <w:rsid w:val="000476DE"/>
    <w:rsid w:val="000477FC"/>
    <w:rsid w:val="00047817"/>
    <w:rsid w:val="00047848"/>
    <w:rsid w:val="00047877"/>
    <w:rsid w:val="000478EC"/>
    <w:rsid w:val="00047A6A"/>
    <w:rsid w:val="00047AE5"/>
    <w:rsid w:val="00047D8F"/>
    <w:rsid w:val="00047E06"/>
    <w:rsid w:val="00047F85"/>
    <w:rsid w:val="00050020"/>
    <w:rsid w:val="000501B8"/>
    <w:rsid w:val="00050308"/>
    <w:rsid w:val="0005048C"/>
    <w:rsid w:val="000504D5"/>
    <w:rsid w:val="000504ED"/>
    <w:rsid w:val="0005057C"/>
    <w:rsid w:val="000505EC"/>
    <w:rsid w:val="0005064A"/>
    <w:rsid w:val="00050731"/>
    <w:rsid w:val="00050B61"/>
    <w:rsid w:val="00050C0F"/>
    <w:rsid w:val="00050C15"/>
    <w:rsid w:val="00050C43"/>
    <w:rsid w:val="00050D77"/>
    <w:rsid w:val="00050E76"/>
    <w:rsid w:val="00050EAE"/>
    <w:rsid w:val="00050F47"/>
    <w:rsid w:val="00050F82"/>
    <w:rsid w:val="000513B1"/>
    <w:rsid w:val="00051400"/>
    <w:rsid w:val="00051422"/>
    <w:rsid w:val="00051539"/>
    <w:rsid w:val="0005155E"/>
    <w:rsid w:val="000518EE"/>
    <w:rsid w:val="00051A6A"/>
    <w:rsid w:val="00051C43"/>
    <w:rsid w:val="00051D06"/>
    <w:rsid w:val="00051E08"/>
    <w:rsid w:val="00052047"/>
    <w:rsid w:val="00052394"/>
    <w:rsid w:val="000523AA"/>
    <w:rsid w:val="000523E6"/>
    <w:rsid w:val="000525D2"/>
    <w:rsid w:val="000529CB"/>
    <w:rsid w:val="00052AE9"/>
    <w:rsid w:val="00052BD2"/>
    <w:rsid w:val="00052D14"/>
    <w:rsid w:val="0005307B"/>
    <w:rsid w:val="000530E2"/>
    <w:rsid w:val="000531F5"/>
    <w:rsid w:val="00053272"/>
    <w:rsid w:val="0005338E"/>
    <w:rsid w:val="000534D5"/>
    <w:rsid w:val="0005351F"/>
    <w:rsid w:val="00053623"/>
    <w:rsid w:val="00053786"/>
    <w:rsid w:val="0005387A"/>
    <w:rsid w:val="000538E3"/>
    <w:rsid w:val="000539C4"/>
    <w:rsid w:val="00053AC5"/>
    <w:rsid w:val="00053BCF"/>
    <w:rsid w:val="00053C78"/>
    <w:rsid w:val="00053E3B"/>
    <w:rsid w:val="0005447A"/>
    <w:rsid w:val="000546D4"/>
    <w:rsid w:val="000548CF"/>
    <w:rsid w:val="00054A62"/>
    <w:rsid w:val="00054A90"/>
    <w:rsid w:val="00054AED"/>
    <w:rsid w:val="00054B4F"/>
    <w:rsid w:val="00054C73"/>
    <w:rsid w:val="00054CF3"/>
    <w:rsid w:val="00054DA5"/>
    <w:rsid w:val="00054F15"/>
    <w:rsid w:val="00054FFB"/>
    <w:rsid w:val="0005510E"/>
    <w:rsid w:val="00055148"/>
    <w:rsid w:val="000552A9"/>
    <w:rsid w:val="00055361"/>
    <w:rsid w:val="00055399"/>
    <w:rsid w:val="0005541E"/>
    <w:rsid w:val="000556A4"/>
    <w:rsid w:val="0005581A"/>
    <w:rsid w:val="00055A17"/>
    <w:rsid w:val="00055AF0"/>
    <w:rsid w:val="00055B98"/>
    <w:rsid w:val="00055CE5"/>
    <w:rsid w:val="00055E97"/>
    <w:rsid w:val="00055EC1"/>
    <w:rsid w:val="000562A0"/>
    <w:rsid w:val="000562C5"/>
    <w:rsid w:val="00056355"/>
    <w:rsid w:val="0005644E"/>
    <w:rsid w:val="000565B5"/>
    <w:rsid w:val="000565D3"/>
    <w:rsid w:val="00056645"/>
    <w:rsid w:val="0005668D"/>
    <w:rsid w:val="000566CC"/>
    <w:rsid w:val="0005674E"/>
    <w:rsid w:val="000567F2"/>
    <w:rsid w:val="00056DBA"/>
    <w:rsid w:val="00056E0F"/>
    <w:rsid w:val="00056EC4"/>
    <w:rsid w:val="000570CC"/>
    <w:rsid w:val="000570EF"/>
    <w:rsid w:val="00057197"/>
    <w:rsid w:val="0005719D"/>
    <w:rsid w:val="000572AA"/>
    <w:rsid w:val="00057411"/>
    <w:rsid w:val="00057455"/>
    <w:rsid w:val="00057487"/>
    <w:rsid w:val="000574CB"/>
    <w:rsid w:val="000574D8"/>
    <w:rsid w:val="00057532"/>
    <w:rsid w:val="0005755F"/>
    <w:rsid w:val="00057584"/>
    <w:rsid w:val="000575D2"/>
    <w:rsid w:val="000577E8"/>
    <w:rsid w:val="0005790A"/>
    <w:rsid w:val="00057956"/>
    <w:rsid w:val="00057977"/>
    <w:rsid w:val="000579E9"/>
    <w:rsid w:val="00057BE7"/>
    <w:rsid w:val="00060020"/>
    <w:rsid w:val="0006020A"/>
    <w:rsid w:val="0006037B"/>
    <w:rsid w:val="00060683"/>
    <w:rsid w:val="0006075A"/>
    <w:rsid w:val="00060AC3"/>
    <w:rsid w:val="00060BCE"/>
    <w:rsid w:val="00060C14"/>
    <w:rsid w:val="00061059"/>
    <w:rsid w:val="000610A2"/>
    <w:rsid w:val="0006115D"/>
    <w:rsid w:val="00061182"/>
    <w:rsid w:val="00061405"/>
    <w:rsid w:val="000616EC"/>
    <w:rsid w:val="0006189C"/>
    <w:rsid w:val="00061AF4"/>
    <w:rsid w:val="00061D88"/>
    <w:rsid w:val="00061DAC"/>
    <w:rsid w:val="00061FA9"/>
    <w:rsid w:val="000620BA"/>
    <w:rsid w:val="00062126"/>
    <w:rsid w:val="000622C4"/>
    <w:rsid w:val="000624C3"/>
    <w:rsid w:val="000628A5"/>
    <w:rsid w:val="00062A4D"/>
    <w:rsid w:val="00062B0B"/>
    <w:rsid w:val="00062C34"/>
    <w:rsid w:val="00062D54"/>
    <w:rsid w:val="00062EF5"/>
    <w:rsid w:val="00062F00"/>
    <w:rsid w:val="00062F33"/>
    <w:rsid w:val="000630D6"/>
    <w:rsid w:val="0006310A"/>
    <w:rsid w:val="0006316A"/>
    <w:rsid w:val="00063183"/>
    <w:rsid w:val="000631B3"/>
    <w:rsid w:val="00063241"/>
    <w:rsid w:val="000632E1"/>
    <w:rsid w:val="00063656"/>
    <w:rsid w:val="00063688"/>
    <w:rsid w:val="00063748"/>
    <w:rsid w:val="00063750"/>
    <w:rsid w:val="00063D0D"/>
    <w:rsid w:val="00063D4B"/>
    <w:rsid w:val="00063E0B"/>
    <w:rsid w:val="00063F8B"/>
    <w:rsid w:val="00064041"/>
    <w:rsid w:val="0006416C"/>
    <w:rsid w:val="00064190"/>
    <w:rsid w:val="000641C3"/>
    <w:rsid w:val="000643B3"/>
    <w:rsid w:val="000643C0"/>
    <w:rsid w:val="00064410"/>
    <w:rsid w:val="00064455"/>
    <w:rsid w:val="00064483"/>
    <w:rsid w:val="0006448D"/>
    <w:rsid w:val="000644FE"/>
    <w:rsid w:val="00064551"/>
    <w:rsid w:val="000645D9"/>
    <w:rsid w:val="00064726"/>
    <w:rsid w:val="0006479B"/>
    <w:rsid w:val="00064842"/>
    <w:rsid w:val="00064A93"/>
    <w:rsid w:val="00064C96"/>
    <w:rsid w:val="00064F14"/>
    <w:rsid w:val="0006503F"/>
    <w:rsid w:val="0006527A"/>
    <w:rsid w:val="000652E0"/>
    <w:rsid w:val="00065474"/>
    <w:rsid w:val="000657B5"/>
    <w:rsid w:val="00065866"/>
    <w:rsid w:val="0006591F"/>
    <w:rsid w:val="0006592C"/>
    <w:rsid w:val="00065A4C"/>
    <w:rsid w:val="00065AD7"/>
    <w:rsid w:val="00065D4A"/>
    <w:rsid w:val="00065E88"/>
    <w:rsid w:val="00065F8A"/>
    <w:rsid w:val="0006601D"/>
    <w:rsid w:val="0006623B"/>
    <w:rsid w:val="000662A3"/>
    <w:rsid w:val="000662B2"/>
    <w:rsid w:val="0006667F"/>
    <w:rsid w:val="000669C9"/>
    <w:rsid w:val="00066D0B"/>
    <w:rsid w:val="00066EBC"/>
    <w:rsid w:val="00066EDB"/>
    <w:rsid w:val="00067088"/>
    <w:rsid w:val="000671DC"/>
    <w:rsid w:val="00067282"/>
    <w:rsid w:val="00067615"/>
    <w:rsid w:val="000676C1"/>
    <w:rsid w:val="00067755"/>
    <w:rsid w:val="00067819"/>
    <w:rsid w:val="00067A0E"/>
    <w:rsid w:val="00067A2C"/>
    <w:rsid w:val="00067ADF"/>
    <w:rsid w:val="00067F52"/>
    <w:rsid w:val="00067F84"/>
    <w:rsid w:val="00067FA8"/>
    <w:rsid w:val="00070440"/>
    <w:rsid w:val="00070570"/>
    <w:rsid w:val="000705E3"/>
    <w:rsid w:val="00070881"/>
    <w:rsid w:val="00070A67"/>
    <w:rsid w:val="00070BF4"/>
    <w:rsid w:val="00070BFA"/>
    <w:rsid w:val="00070C58"/>
    <w:rsid w:val="00070E98"/>
    <w:rsid w:val="000710CA"/>
    <w:rsid w:val="00071230"/>
    <w:rsid w:val="00071360"/>
    <w:rsid w:val="000713B0"/>
    <w:rsid w:val="000716B8"/>
    <w:rsid w:val="00071995"/>
    <w:rsid w:val="000719B9"/>
    <w:rsid w:val="00071A4C"/>
    <w:rsid w:val="00071C7A"/>
    <w:rsid w:val="00071D0D"/>
    <w:rsid w:val="00071D27"/>
    <w:rsid w:val="00071D64"/>
    <w:rsid w:val="00071DEC"/>
    <w:rsid w:val="00071E00"/>
    <w:rsid w:val="00072039"/>
    <w:rsid w:val="00072073"/>
    <w:rsid w:val="00072120"/>
    <w:rsid w:val="000722DA"/>
    <w:rsid w:val="0007232D"/>
    <w:rsid w:val="0007239E"/>
    <w:rsid w:val="000726AE"/>
    <w:rsid w:val="000726B0"/>
    <w:rsid w:val="000726BA"/>
    <w:rsid w:val="000727DE"/>
    <w:rsid w:val="00072808"/>
    <w:rsid w:val="00072846"/>
    <w:rsid w:val="00072CD0"/>
    <w:rsid w:val="00072D0F"/>
    <w:rsid w:val="00072D55"/>
    <w:rsid w:val="00072E26"/>
    <w:rsid w:val="00072F74"/>
    <w:rsid w:val="0007301D"/>
    <w:rsid w:val="000730D3"/>
    <w:rsid w:val="000731CF"/>
    <w:rsid w:val="000731FD"/>
    <w:rsid w:val="0007329D"/>
    <w:rsid w:val="000732B6"/>
    <w:rsid w:val="000732EA"/>
    <w:rsid w:val="000733C5"/>
    <w:rsid w:val="000739CF"/>
    <w:rsid w:val="00073AC1"/>
    <w:rsid w:val="00073B3B"/>
    <w:rsid w:val="00073CEE"/>
    <w:rsid w:val="00073D57"/>
    <w:rsid w:val="00073E75"/>
    <w:rsid w:val="00073F30"/>
    <w:rsid w:val="00074074"/>
    <w:rsid w:val="000740DF"/>
    <w:rsid w:val="000740F1"/>
    <w:rsid w:val="0007433F"/>
    <w:rsid w:val="00074448"/>
    <w:rsid w:val="00074741"/>
    <w:rsid w:val="00074ACD"/>
    <w:rsid w:val="00074D52"/>
    <w:rsid w:val="00074D71"/>
    <w:rsid w:val="00074DA1"/>
    <w:rsid w:val="00074E2E"/>
    <w:rsid w:val="00074FAA"/>
    <w:rsid w:val="0007521B"/>
    <w:rsid w:val="000752FD"/>
    <w:rsid w:val="00075613"/>
    <w:rsid w:val="00075969"/>
    <w:rsid w:val="00075CF8"/>
    <w:rsid w:val="00075DCF"/>
    <w:rsid w:val="00075ED0"/>
    <w:rsid w:val="00075EE8"/>
    <w:rsid w:val="00075F69"/>
    <w:rsid w:val="00076487"/>
    <w:rsid w:val="00076518"/>
    <w:rsid w:val="00076599"/>
    <w:rsid w:val="00076664"/>
    <w:rsid w:val="0007666C"/>
    <w:rsid w:val="00076899"/>
    <w:rsid w:val="0007696C"/>
    <w:rsid w:val="00076B91"/>
    <w:rsid w:val="00076DDC"/>
    <w:rsid w:val="000772A2"/>
    <w:rsid w:val="000772D9"/>
    <w:rsid w:val="00077334"/>
    <w:rsid w:val="0007735C"/>
    <w:rsid w:val="000774E6"/>
    <w:rsid w:val="0007767B"/>
    <w:rsid w:val="000777F3"/>
    <w:rsid w:val="0007796C"/>
    <w:rsid w:val="00077C97"/>
    <w:rsid w:val="00077ED9"/>
    <w:rsid w:val="00077EFE"/>
    <w:rsid w:val="00077F92"/>
    <w:rsid w:val="00080033"/>
    <w:rsid w:val="000800E2"/>
    <w:rsid w:val="000802ED"/>
    <w:rsid w:val="000803E8"/>
    <w:rsid w:val="0008068F"/>
    <w:rsid w:val="000809B1"/>
    <w:rsid w:val="00080B2F"/>
    <w:rsid w:val="00080BD8"/>
    <w:rsid w:val="00080BEE"/>
    <w:rsid w:val="00080C85"/>
    <w:rsid w:val="00080DB9"/>
    <w:rsid w:val="00080EB5"/>
    <w:rsid w:val="0008122F"/>
    <w:rsid w:val="0008124C"/>
    <w:rsid w:val="0008135E"/>
    <w:rsid w:val="00081569"/>
    <w:rsid w:val="000815E6"/>
    <w:rsid w:val="00081651"/>
    <w:rsid w:val="000818F1"/>
    <w:rsid w:val="0008194A"/>
    <w:rsid w:val="00081B02"/>
    <w:rsid w:val="00081C77"/>
    <w:rsid w:val="00081CF8"/>
    <w:rsid w:val="00081D2E"/>
    <w:rsid w:val="000820DC"/>
    <w:rsid w:val="00082143"/>
    <w:rsid w:val="00082226"/>
    <w:rsid w:val="00082229"/>
    <w:rsid w:val="00082257"/>
    <w:rsid w:val="0008237C"/>
    <w:rsid w:val="00082427"/>
    <w:rsid w:val="0008243A"/>
    <w:rsid w:val="00082545"/>
    <w:rsid w:val="000827EB"/>
    <w:rsid w:val="0008282B"/>
    <w:rsid w:val="0008285B"/>
    <w:rsid w:val="00082870"/>
    <w:rsid w:val="000829C7"/>
    <w:rsid w:val="00082A73"/>
    <w:rsid w:val="00082AE3"/>
    <w:rsid w:val="00082C2F"/>
    <w:rsid w:val="00082C4C"/>
    <w:rsid w:val="00082E54"/>
    <w:rsid w:val="00082EC2"/>
    <w:rsid w:val="00082F3E"/>
    <w:rsid w:val="00083052"/>
    <w:rsid w:val="000831BB"/>
    <w:rsid w:val="000832D8"/>
    <w:rsid w:val="0008330A"/>
    <w:rsid w:val="0008330C"/>
    <w:rsid w:val="00083453"/>
    <w:rsid w:val="00083487"/>
    <w:rsid w:val="000834AB"/>
    <w:rsid w:val="0008358D"/>
    <w:rsid w:val="000835B1"/>
    <w:rsid w:val="000835FA"/>
    <w:rsid w:val="000837FE"/>
    <w:rsid w:val="00083B32"/>
    <w:rsid w:val="00083DCF"/>
    <w:rsid w:val="00083E1B"/>
    <w:rsid w:val="0008430E"/>
    <w:rsid w:val="0008433F"/>
    <w:rsid w:val="0008447D"/>
    <w:rsid w:val="000844B3"/>
    <w:rsid w:val="000846F2"/>
    <w:rsid w:val="000847BE"/>
    <w:rsid w:val="0008482F"/>
    <w:rsid w:val="00084888"/>
    <w:rsid w:val="000848C5"/>
    <w:rsid w:val="00084999"/>
    <w:rsid w:val="000849FA"/>
    <w:rsid w:val="00084BB0"/>
    <w:rsid w:val="00084CAA"/>
    <w:rsid w:val="00084D0E"/>
    <w:rsid w:val="00084E1D"/>
    <w:rsid w:val="00084E91"/>
    <w:rsid w:val="0008543B"/>
    <w:rsid w:val="00085821"/>
    <w:rsid w:val="000859BD"/>
    <w:rsid w:val="00085A6C"/>
    <w:rsid w:val="00085B74"/>
    <w:rsid w:val="00085D4F"/>
    <w:rsid w:val="00085D51"/>
    <w:rsid w:val="00085E70"/>
    <w:rsid w:val="000860F6"/>
    <w:rsid w:val="0008642F"/>
    <w:rsid w:val="00086439"/>
    <w:rsid w:val="000864E3"/>
    <w:rsid w:val="000864E6"/>
    <w:rsid w:val="000864FC"/>
    <w:rsid w:val="00086612"/>
    <w:rsid w:val="000869B9"/>
    <w:rsid w:val="00086A3A"/>
    <w:rsid w:val="00086C87"/>
    <w:rsid w:val="00086E12"/>
    <w:rsid w:val="00086E49"/>
    <w:rsid w:val="0008716F"/>
    <w:rsid w:val="00087220"/>
    <w:rsid w:val="0008734F"/>
    <w:rsid w:val="000874FE"/>
    <w:rsid w:val="0008753E"/>
    <w:rsid w:val="00087574"/>
    <w:rsid w:val="00087655"/>
    <w:rsid w:val="0008788E"/>
    <w:rsid w:val="00087914"/>
    <w:rsid w:val="00087995"/>
    <w:rsid w:val="00087B73"/>
    <w:rsid w:val="00087D70"/>
    <w:rsid w:val="00090046"/>
    <w:rsid w:val="000900EA"/>
    <w:rsid w:val="000900FE"/>
    <w:rsid w:val="00090106"/>
    <w:rsid w:val="00090371"/>
    <w:rsid w:val="000903BD"/>
    <w:rsid w:val="00090789"/>
    <w:rsid w:val="00090800"/>
    <w:rsid w:val="00090898"/>
    <w:rsid w:val="000909F6"/>
    <w:rsid w:val="00090A1E"/>
    <w:rsid w:val="00090F38"/>
    <w:rsid w:val="00090F4D"/>
    <w:rsid w:val="000910DD"/>
    <w:rsid w:val="0009114F"/>
    <w:rsid w:val="0009116F"/>
    <w:rsid w:val="00091271"/>
    <w:rsid w:val="000912C7"/>
    <w:rsid w:val="000913DE"/>
    <w:rsid w:val="0009144A"/>
    <w:rsid w:val="00091478"/>
    <w:rsid w:val="00091617"/>
    <w:rsid w:val="0009172C"/>
    <w:rsid w:val="0009175B"/>
    <w:rsid w:val="0009178F"/>
    <w:rsid w:val="0009188E"/>
    <w:rsid w:val="0009189A"/>
    <w:rsid w:val="000918E5"/>
    <w:rsid w:val="000919C0"/>
    <w:rsid w:val="00091BE8"/>
    <w:rsid w:val="00091C1F"/>
    <w:rsid w:val="00091C8D"/>
    <w:rsid w:val="00091D47"/>
    <w:rsid w:val="0009206D"/>
    <w:rsid w:val="0009226B"/>
    <w:rsid w:val="000922A9"/>
    <w:rsid w:val="000922B9"/>
    <w:rsid w:val="00092324"/>
    <w:rsid w:val="00092784"/>
    <w:rsid w:val="00092790"/>
    <w:rsid w:val="00092969"/>
    <w:rsid w:val="00092A79"/>
    <w:rsid w:val="00092EE1"/>
    <w:rsid w:val="00092F7B"/>
    <w:rsid w:val="00093063"/>
    <w:rsid w:val="0009320E"/>
    <w:rsid w:val="00093243"/>
    <w:rsid w:val="000932B6"/>
    <w:rsid w:val="000932C0"/>
    <w:rsid w:val="0009330F"/>
    <w:rsid w:val="0009333D"/>
    <w:rsid w:val="00093351"/>
    <w:rsid w:val="00093418"/>
    <w:rsid w:val="00093487"/>
    <w:rsid w:val="0009357C"/>
    <w:rsid w:val="0009385F"/>
    <w:rsid w:val="000939C1"/>
    <w:rsid w:val="00093B43"/>
    <w:rsid w:val="00093CB3"/>
    <w:rsid w:val="00094082"/>
    <w:rsid w:val="00094280"/>
    <w:rsid w:val="000942F0"/>
    <w:rsid w:val="000945F5"/>
    <w:rsid w:val="000947D1"/>
    <w:rsid w:val="000948E1"/>
    <w:rsid w:val="000949A3"/>
    <w:rsid w:val="00094A7C"/>
    <w:rsid w:val="00094D16"/>
    <w:rsid w:val="00094DAF"/>
    <w:rsid w:val="00094E69"/>
    <w:rsid w:val="00094F89"/>
    <w:rsid w:val="00095034"/>
    <w:rsid w:val="0009519B"/>
    <w:rsid w:val="0009527F"/>
    <w:rsid w:val="000953D9"/>
    <w:rsid w:val="000955A4"/>
    <w:rsid w:val="0009561F"/>
    <w:rsid w:val="000956E1"/>
    <w:rsid w:val="00095738"/>
    <w:rsid w:val="0009582A"/>
    <w:rsid w:val="0009597B"/>
    <w:rsid w:val="00095A48"/>
    <w:rsid w:val="00095ABC"/>
    <w:rsid w:val="00095AFB"/>
    <w:rsid w:val="00095C34"/>
    <w:rsid w:val="00095D95"/>
    <w:rsid w:val="000960DC"/>
    <w:rsid w:val="00096159"/>
    <w:rsid w:val="000961F5"/>
    <w:rsid w:val="0009623D"/>
    <w:rsid w:val="0009627B"/>
    <w:rsid w:val="000962E8"/>
    <w:rsid w:val="000966B2"/>
    <w:rsid w:val="00096801"/>
    <w:rsid w:val="000968DD"/>
    <w:rsid w:val="000969C7"/>
    <w:rsid w:val="00096B6B"/>
    <w:rsid w:val="00096B9C"/>
    <w:rsid w:val="00096C35"/>
    <w:rsid w:val="00096D28"/>
    <w:rsid w:val="00096DA3"/>
    <w:rsid w:val="00097067"/>
    <w:rsid w:val="000974A0"/>
    <w:rsid w:val="00097597"/>
    <w:rsid w:val="000975E1"/>
    <w:rsid w:val="000977A7"/>
    <w:rsid w:val="0009781F"/>
    <w:rsid w:val="00097A5B"/>
    <w:rsid w:val="00097BAC"/>
    <w:rsid w:val="00097BC8"/>
    <w:rsid w:val="00097C2C"/>
    <w:rsid w:val="00097C82"/>
    <w:rsid w:val="00097C9D"/>
    <w:rsid w:val="00097EDE"/>
    <w:rsid w:val="000A006B"/>
    <w:rsid w:val="000A00AB"/>
    <w:rsid w:val="000A01F5"/>
    <w:rsid w:val="000A0386"/>
    <w:rsid w:val="000A03E3"/>
    <w:rsid w:val="000A04E2"/>
    <w:rsid w:val="000A04F9"/>
    <w:rsid w:val="000A0594"/>
    <w:rsid w:val="000A05AC"/>
    <w:rsid w:val="000A0661"/>
    <w:rsid w:val="000A0704"/>
    <w:rsid w:val="000A0798"/>
    <w:rsid w:val="000A080A"/>
    <w:rsid w:val="000A0979"/>
    <w:rsid w:val="000A0991"/>
    <w:rsid w:val="000A09D0"/>
    <w:rsid w:val="000A09EC"/>
    <w:rsid w:val="000A0A65"/>
    <w:rsid w:val="000A0ABE"/>
    <w:rsid w:val="000A0B62"/>
    <w:rsid w:val="000A0BEF"/>
    <w:rsid w:val="000A0C15"/>
    <w:rsid w:val="000A0D22"/>
    <w:rsid w:val="000A0DC1"/>
    <w:rsid w:val="000A0F10"/>
    <w:rsid w:val="000A0F29"/>
    <w:rsid w:val="000A11F9"/>
    <w:rsid w:val="000A126B"/>
    <w:rsid w:val="000A13E8"/>
    <w:rsid w:val="000A1432"/>
    <w:rsid w:val="000A1567"/>
    <w:rsid w:val="000A1728"/>
    <w:rsid w:val="000A1833"/>
    <w:rsid w:val="000A194B"/>
    <w:rsid w:val="000A199B"/>
    <w:rsid w:val="000A1AAD"/>
    <w:rsid w:val="000A1B5C"/>
    <w:rsid w:val="000A1CE1"/>
    <w:rsid w:val="000A1D78"/>
    <w:rsid w:val="000A1E71"/>
    <w:rsid w:val="000A1EA9"/>
    <w:rsid w:val="000A1FB1"/>
    <w:rsid w:val="000A20D1"/>
    <w:rsid w:val="000A2159"/>
    <w:rsid w:val="000A219A"/>
    <w:rsid w:val="000A221F"/>
    <w:rsid w:val="000A224C"/>
    <w:rsid w:val="000A247B"/>
    <w:rsid w:val="000A24C5"/>
    <w:rsid w:val="000A251F"/>
    <w:rsid w:val="000A2616"/>
    <w:rsid w:val="000A2707"/>
    <w:rsid w:val="000A27E8"/>
    <w:rsid w:val="000A28EE"/>
    <w:rsid w:val="000A2947"/>
    <w:rsid w:val="000A2A2A"/>
    <w:rsid w:val="000A2A31"/>
    <w:rsid w:val="000A2A77"/>
    <w:rsid w:val="000A2ACA"/>
    <w:rsid w:val="000A2AF9"/>
    <w:rsid w:val="000A2B3B"/>
    <w:rsid w:val="000A2DA3"/>
    <w:rsid w:val="000A2E1E"/>
    <w:rsid w:val="000A2FEC"/>
    <w:rsid w:val="000A33EC"/>
    <w:rsid w:val="000A33FE"/>
    <w:rsid w:val="000A3416"/>
    <w:rsid w:val="000A3481"/>
    <w:rsid w:val="000A37C5"/>
    <w:rsid w:val="000A3865"/>
    <w:rsid w:val="000A3A3E"/>
    <w:rsid w:val="000A3BFE"/>
    <w:rsid w:val="000A3D33"/>
    <w:rsid w:val="000A3ED4"/>
    <w:rsid w:val="000A3F7B"/>
    <w:rsid w:val="000A3FA6"/>
    <w:rsid w:val="000A40BC"/>
    <w:rsid w:val="000A4237"/>
    <w:rsid w:val="000A423C"/>
    <w:rsid w:val="000A4317"/>
    <w:rsid w:val="000A4BC6"/>
    <w:rsid w:val="000A4C5E"/>
    <w:rsid w:val="000A4D42"/>
    <w:rsid w:val="000A4EFA"/>
    <w:rsid w:val="000A523D"/>
    <w:rsid w:val="000A5320"/>
    <w:rsid w:val="000A5506"/>
    <w:rsid w:val="000A5CF6"/>
    <w:rsid w:val="000A5E9A"/>
    <w:rsid w:val="000A603F"/>
    <w:rsid w:val="000A61CA"/>
    <w:rsid w:val="000A620B"/>
    <w:rsid w:val="000A631C"/>
    <w:rsid w:val="000A6343"/>
    <w:rsid w:val="000A6353"/>
    <w:rsid w:val="000A6702"/>
    <w:rsid w:val="000A6716"/>
    <w:rsid w:val="000A68BD"/>
    <w:rsid w:val="000A6C6E"/>
    <w:rsid w:val="000A6CE8"/>
    <w:rsid w:val="000A6D6A"/>
    <w:rsid w:val="000A6E1F"/>
    <w:rsid w:val="000A71C1"/>
    <w:rsid w:val="000A7208"/>
    <w:rsid w:val="000A730F"/>
    <w:rsid w:val="000A75DC"/>
    <w:rsid w:val="000A7645"/>
    <w:rsid w:val="000A7686"/>
    <w:rsid w:val="000A76D6"/>
    <w:rsid w:val="000A78FE"/>
    <w:rsid w:val="000A7958"/>
    <w:rsid w:val="000A7DC8"/>
    <w:rsid w:val="000A7EA5"/>
    <w:rsid w:val="000B005D"/>
    <w:rsid w:val="000B0411"/>
    <w:rsid w:val="000B04A1"/>
    <w:rsid w:val="000B050F"/>
    <w:rsid w:val="000B0563"/>
    <w:rsid w:val="000B05B3"/>
    <w:rsid w:val="000B08C5"/>
    <w:rsid w:val="000B09B0"/>
    <w:rsid w:val="000B0C2C"/>
    <w:rsid w:val="000B0C3E"/>
    <w:rsid w:val="000B0CED"/>
    <w:rsid w:val="000B0D59"/>
    <w:rsid w:val="000B0D68"/>
    <w:rsid w:val="000B0DC0"/>
    <w:rsid w:val="000B0DC8"/>
    <w:rsid w:val="000B1062"/>
    <w:rsid w:val="000B10AE"/>
    <w:rsid w:val="000B1145"/>
    <w:rsid w:val="000B11AF"/>
    <w:rsid w:val="000B1230"/>
    <w:rsid w:val="000B126F"/>
    <w:rsid w:val="000B1391"/>
    <w:rsid w:val="000B1471"/>
    <w:rsid w:val="000B1978"/>
    <w:rsid w:val="000B1BD6"/>
    <w:rsid w:val="000B1C9B"/>
    <w:rsid w:val="000B1D10"/>
    <w:rsid w:val="000B1F31"/>
    <w:rsid w:val="000B1F4C"/>
    <w:rsid w:val="000B20DB"/>
    <w:rsid w:val="000B2164"/>
    <w:rsid w:val="000B218D"/>
    <w:rsid w:val="000B24D8"/>
    <w:rsid w:val="000B252D"/>
    <w:rsid w:val="000B25C0"/>
    <w:rsid w:val="000B2721"/>
    <w:rsid w:val="000B288A"/>
    <w:rsid w:val="000B29BA"/>
    <w:rsid w:val="000B2ACD"/>
    <w:rsid w:val="000B2B5E"/>
    <w:rsid w:val="000B2B77"/>
    <w:rsid w:val="000B3078"/>
    <w:rsid w:val="000B3578"/>
    <w:rsid w:val="000B35E5"/>
    <w:rsid w:val="000B36C6"/>
    <w:rsid w:val="000B3738"/>
    <w:rsid w:val="000B3A41"/>
    <w:rsid w:val="000B3AF0"/>
    <w:rsid w:val="000B3B28"/>
    <w:rsid w:val="000B3D86"/>
    <w:rsid w:val="000B3EBF"/>
    <w:rsid w:val="000B4043"/>
    <w:rsid w:val="000B4245"/>
    <w:rsid w:val="000B43D8"/>
    <w:rsid w:val="000B4660"/>
    <w:rsid w:val="000B4678"/>
    <w:rsid w:val="000B4682"/>
    <w:rsid w:val="000B46AB"/>
    <w:rsid w:val="000B4972"/>
    <w:rsid w:val="000B4A0E"/>
    <w:rsid w:val="000B4AFA"/>
    <w:rsid w:val="000B4BC1"/>
    <w:rsid w:val="000B4D7D"/>
    <w:rsid w:val="000B4E65"/>
    <w:rsid w:val="000B5154"/>
    <w:rsid w:val="000B542A"/>
    <w:rsid w:val="000B569F"/>
    <w:rsid w:val="000B56A6"/>
    <w:rsid w:val="000B56AE"/>
    <w:rsid w:val="000B571A"/>
    <w:rsid w:val="000B57AB"/>
    <w:rsid w:val="000B5815"/>
    <w:rsid w:val="000B5936"/>
    <w:rsid w:val="000B5979"/>
    <w:rsid w:val="000B59B7"/>
    <w:rsid w:val="000B5A68"/>
    <w:rsid w:val="000B5BDB"/>
    <w:rsid w:val="000B5BEC"/>
    <w:rsid w:val="000B5EA3"/>
    <w:rsid w:val="000B5F0C"/>
    <w:rsid w:val="000B617B"/>
    <w:rsid w:val="000B61F8"/>
    <w:rsid w:val="000B65A7"/>
    <w:rsid w:val="000B6644"/>
    <w:rsid w:val="000B678B"/>
    <w:rsid w:val="000B68FB"/>
    <w:rsid w:val="000B6BF9"/>
    <w:rsid w:val="000B6D02"/>
    <w:rsid w:val="000B6DE7"/>
    <w:rsid w:val="000B6EE8"/>
    <w:rsid w:val="000B6F06"/>
    <w:rsid w:val="000B6F25"/>
    <w:rsid w:val="000B6F32"/>
    <w:rsid w:val="000B701C"/>
    <w:rsid w:val="000B7130"/>
    <w:rsid w:val="000B727C"/>
    <w:rsid w:val="000B7377"/>
    <w:rsid w:val="000B749D"/>
    <w:rsid w:val="000B7512"/>
    <w:rsid w:val="000B756A"/>
    <w:rsid w:val="000B7661"/>
    <w:rsid w:val="000B78DB"/>
    <w:rsid w:val="000B79B4"/>
    <w:rsid w:val="000B7A21"/>
    <w:rsid w:val="000B7BEB"/>
    <w:rsid w:val="000B7E98"/>
    <w:rsid w:val="000B7EB4"/>
    <w:rsid w:val="000C020C"/>
    <w:rsid w:val="000C0363"/>
    <w:rsid w:val="000C0439"/>
    <w:rsid w:val="000C0568"/>
    <w:rsid w:val="000C056C"/>
    <w:rsid w:val="000C058B"/>
    <w:rsid w:val="000C05C4"/>
    <w:rsid w:val="000C0664"/>
    <w:rsid w:val="000C0861"/>
    <w:rsid w:val="000C0A0C"/>
    <w:rsid w:val="000C0D4C"/>
    <w:rsid w:val="000C0D9A"/>
    <w:rsid w:val="000C0DDA"/>
    <w:rsid w:val="000C0E9E"/>
    <w:rsid w:val="000C0F50"/>
    <w:rsid w:val="000C115B"/>
    <w:rsid w:val="000C118F"/>
    <w:rsid w:val="000C11CB"/>
    <w:rsid w:val="000C122B"/>
    <w:rsid w:val="000C1560"/>
    <w:rsid w:val="000C15FA"/>
    <w:rsid w:val="000C1735"/>
    <w:rsid w:val="000C1D7A"/>
    <w:rsid w:val="000C1EDE"/>
    <w:rsid w:val="000C200A"/>
    <w:rsid w:val="000C211B"/>
    <w:rsid w:val="000C220F"/>
    <w:rsid w:val="000C22E3"/>
    <w:rsid w:val="000C22EF"/>
    <w:rsid w:val="000C252F"/>
    <w:rsid w:val="000C283E"/>
    <w:rsid w:val="000C2901"/>
    <w:rsid w:val="000C297F"/>
    <w:rsid w:val="000C2991"/>
    <w:rsid w:val="000C2BD3"/>
    <w:rsid w:val="000C2C66"/>
    <w:rsid w:val="000C3008"/>
    <w:rsid w:val="000C3183"/>
    <w:rsid w:val="000C3302"/>
    <w:rsid w:val="000C344E"/>
    <w:rsid w:val="000C34A9"/>
    <w:rsid w:val="000C3549"/>
    <w:rsid w:val="000C35A7"/>
    <w:rsid w:val="000C35DF"/>
    <w:rsid w:val="000C3671"/>
    <w:rsid w:val="000C3871"/>
    <w:rsid w:val="000C3B03"/>
    <w:rsid w:val="000C3D3B"/>
    <w:rsid w:val="000C3F59"/>
    <w:rsid w:val="000C4163"/>
    <w:rsid w:val="000C43C2"/>
    <w:rsid w:val="000C441E"/>
    <w:rsid w:val="000C44A4"/>
    <w:rsid w:val="000C4547"/>
    <w:rsid w:val="000C4569"/>
    <w:rsid w:val="000C46D1"/>
    <w:rsid w:val="000C4AF8"/>
    <w:rsid w:val="000C4CA5"/>
    <w:rsid w:val="000C4E49"/>
    <w:rsid w:val="000C4F75"/>
    <w:rsid w:val="000C5103"/>
    <w:rsid w:val="000C5114"/>
    <w:rsid w:val="000C51A7"/>
    <w:rsid w:val="000C5247"/>
    <w:rsid w:val="000C5267"/>
    <w:rsid w:val="000C5344"/>
    <w:rsid w:val="000C5395"/>
    <w:rsid w:val="000C55F8"/>
    <w:rsid w:val="000C5657"/>
    <w:rsid w:val="000C57C8"/>
    <w:rsid w:val="000C5841"/>
    <w:rsid w:val="000C594D"/>
    <w:rsid w:val="000C5C0F"/>
    <w:rsid w:val="000C5C8F"/>
    <w:rsid w:val="000C5D03"/>
    <w:rsid w:val="000C5DA9"/>
    <w:rsid w:val="000C5E02"/>
    <w:rsid w:val="000C5EDB"/>
    <w:rsid w:val="000C5F1B"/>
    <w:rsid w:val="000C5F45"/>
    <w:rsid w:val="000C5F79"/>
    <w:rsid w:val="000C5F7F"/>
    <w:rsid w:val="000C5FC5"/>
    <w:rsid w:val="000C60D3"/>
    <w:rsid w:val="000C628F"/>
    <w:rsid w:val="000C658E"/>
    <w:rsid w:val="000C65EA"/>
    <w:rsid w:val="000C65F4"/>
    <w:rsid w:val="000C6651"/>
    <w:rsid w:val="000C66B2"/>
    <w:rsid w:val="000C682A"/>
    <w:rsid w:val="000C6A68"/>
    <w:rsid w:val="000C6BB1"/>
    <w:rsid w:val="000C6D43"/>
    <w:rsid w:val="000C6D59"/>
    <w:rsid w:val="000C6E57"/>
    <w:rsid w:val="000C7114"/>
    <w:rsid w:val="000C7186"/>
    <w:rsid w:val="000C72E5"/>
    <w:rsid w:val="000C742D"/>
    <w:rsid w:val="000C76FB"/>
    <w:rsid w:val="000C77A7"/>
    <w:rsid w:val="000C7817"/>
    <w:rsid w:val="000C789B"/>
    <w:rsid w:val="000C7938"/>
    <w:rsid w:val="000C798C"/>
    <w:rsid w:val="000C7D68"/>
    <w:rsid w:val="000C7DDF"/>
    <w:rsid w:val="000C7EA3"/>
    <w:rsid w:val="000D01E0"/>
    <w:rsid w:val="000D033C"/>
    <w:rsid w:val="000D03C0"/>
    <w:rsid w:val="000D03CA"/>
    <w:rsid w:val="000D0556"/>
    <w:rsid w:val="000D05CC"/>
    <w:rsid w:val="000D0649"/>
    <w:rsid w:val="000D06F6"/>
    <w:rsid w:val="000D0864"/>
    <w:rsid w:val="000D08F7"/>
    <w:rsid w:val="000D0A19"/>
    <w:rsid w:val="000D0C0C"/>
    <w:rsid w:val="000D0D06"/>
    <w:rsid w:val="000D10F1"/>
    <w:rsid w:val="000D1147"/>
    <w:rsid w:val="000D114A"/>
    <w:rsid w:val="000D133F"/>
    <w:rsid w:val="000D1396"/>
    <w:rsid w:val="000D139A"/>
    <w:rsid w:val="000D18E3"/>
    <w:rsid w:val="000D1902"/>
    <w:rsid w:val="000D19ED"/>
    <w:rsid w:val="000D1A53"/>
    <w:rsid w:val="000D1ABF"/>
    <w:rsid w:val="000D200B"/>
    <w:rsid w:val="000D215B"/>
    <w:rsid w:val="000D2412"/>
    <w:rsid w:val="000D2427"/>
    <w:rsid w:val="000D25D7"/>
    <w:rsid w:val="000D2607"/>
    <w:rsid w:val="000D26B5"/>
    <w:rsid w:val="000D2774"/>
    <w:rsid w:val="000D28A7"/>
    <w:rsid w:val="000D28E7"/>
    <w:rsid w:val="000D2A28"/>
    <w:rsid w:val="000D2A8A"/>
    <w:rsid w:val="000D2BA9"/>
    <w:rsid w:val="000D3110"/>
    <w:rsid w:val="000D31A1"/>
    <w:rsid w:val="000D31F5"/>
    <w:rsid w:val="000D3325"/>
    <w:rsid w:val="000D3333"/>
    <w:rsid w:val="000D333D"/>
    <w:rsid w:val="000D334C"/>
    <w:rsid w:val="000D3359"/>
    <w:rsid w:val="000D35E6"/>
    <w:rsid w:val="000D364E"/>
    <w:rsid w:val="000D3720"/>
    <w:rsid w:val="000D3961"/>
    <w:rsid w:val="000D3969"/>
    <w:rsid w:val="000D3A97"/>
    <w:rsid w:val="000D3BE8"/>
    <w:rsid w:val="000D3C42"/>
    <w:rsid w:val="000D3C60"/>
    <w:rsid w:val="000D3EE9"/>
    <w:rsid w:val="000D4328"/>
    <w:rsid w:val="000D492D"/>
    <w:rsid w:val="000D49A2"/>
    <w:rsid w:val="000D4C27"/>
    <w:rsid w:val="000D4DA8"/>
    <w:rsid w:val="000D4E2A"/>
    <w:rsid w:val="000D4E5C"/>
    <w:rsid w:val="000D4FBA"/>
    <w:rsid w:val="000D5156"/>
    <w:rsid w:val="000D53F6"/>
    <w:rsid w:val="000D544F"/>
    <w:rsid w:val="000D5561"/>
    <w:rsid w:val="000D56B2"/>
    <w:rsid w:val="000D56B9"/>
    <w:rsid w:val="000D57D7"/>
    <w:rsid w:val="000D5861"/>
    <w:rsid w:val="000D5942"/>
    <w:rsid w:val="000D5CA6"/>
    <w:rsid w:val="000D5D94"/>
    <w:rsid w:val="000D5E5E"/>
    <w:rsid w:val="000D5FB4"/>
    <w:rsid w:val="000D5FD4"/>
    <w:rsid w:val="000D602C"/>
    <w:rsid w:val="000D6211"/>
    <w:rsid w:val="000D626B"/>
    <w:rsid w:val="000D635F"/>
    <w:rsid w:val="000D64D5"/>
    <w:rsid w:val="000D664B"/>
    <w:rsid w:val="000D666E"/>
    <w:rsid w:val="000D66E2"/>
    <w:rsid w:val="000D6796"/>
    <w:rsid w:val="000D679D"/>
    <w:rsid w:val="000D697C"/>
    <w:rsid w:val="000D6A89"/>
    <w:rsid w:val="000D6BD4"/>
    <w:rsid w:val="000D6BE9"/>
    <w:rsid w:val="000D6CD0"/>
    <w:rsid w:val="000D6CF8"/>
    <w:rsid w:val="000D6EE1"/>
    <w:rsid w:val="000D6F70"/>
    <w:rsid w:val="000D713B"/>
    <w:rsid w:val="000D71B3"/>
    <w:rsid w:val="000D7252"/>
    <w:rsid w:val="000D7352"/>
    <w:rsid w:val="000D735F"/>
    <w:rsid w:val="000D76C2"/>
    <w:rsid w:val="000D76F5"/>
    <w:rsid w:val="000D78CC"/>
    <w:rsid w:val="000D790D"/>
    <w:rsid w:val="000D7A7F"/>
    <w:rsid w:val="000D7ACC"/>
    <w:rsid w:val="000D7D26"/>
    <w:rsid w:val="000D7DC6"/>
    <w:rsid w:val="000D7E15"/>
    <w:rsid w:val="000D7ECA"/>
    <w:rsid w:val="000E0074"/>
    <w:rsid w:val="000E0178"/>
    <w:rsid w:val="000E023E"/>
    <w:rsid w:val="000E03E5"/>
    <w:rsid w:val="000E0404"/>
    <w:rsid w:val="000E0517"/>
    <w:rsid w:val="000E0577"/>
    <w:rsid w:val="000E0582"/>
    <w:rsid w:val="000E05A1"/>
    <w:rsid w:val="000E07C6"/>
    <w:rsid w:val="000E0890"/>
    <w:rsid w:val="000E0A94"/>
    <w:rsid w:val="000E0B05"/>
    <w:rsid w:val="000E0BDA"/>
    <w:rsid w:val="000E0E35"/>
    <w:rsid w:val="000E0F7C"/>
    <w:rsid w:val="000E0FCD"/>
    <w:rsid w:val="000E0FE3"/>
    <w:rsid w:val="000E0FE4"/>
    <w:rsid w:val="000E137A"/>
    <w:rsid w:val="000E1456"/>
    <w:rsid w:val="000E14CE"/>
    <w:rsid w:val="000E161C"/>
    <w:rsid w:val="000E1933"/>
    <w:rsid w:val="000E1AE2"/>
    <w:rsid w:val="000E1B9A"/>
    <w:rsid w:val="000E1CB4"/>
    <w:rsid w:val="000E1CC4"/>
    <w:rsid w:val="000E1D04"/>
    <w:rsid w:val="000E1D25"/>
    <w:rsid w:val="000E1EBF"/>
    <w:rsid w:val="000E1EF8"/>
    <w:rsid w:val="000E2021"/>
    <w:rsid w:val="000E2028"/>
    <w:rsid w:val="000E2125"/>
    <w:rsid w:val="000E2261"/>
    <w:rsid w:val="000E26CC"/>
    <w:rsid w:val="000E276A"/>
    <w:rsid w:val="000E276C"/>
    <w:rsid w:val="000E28BD"/>
    <w:rsid w:val="000E2C5D"/>
    <w:rsid w:val="000E2D16"/>
    <w:rsid w:val="000E2D30"/>
    <w:rsid w:val="000E2D9C"/>
    <w:rsid w:val="000E2E00"/>
    <w:rsid w:val="000E2E6E"/>
    <w:rsid w:val="000E2EE1"/>
    <w:rsid w:val="000E2FB6"/>
    <w:rsid w:val="000E3217"/>
    <w:rsid w:val="000E32E7"/>
    <w:rsid w:val="000E3322"/>
    <w:rsid w:val="000E3372"/>
    <w:rsid w:val="000E3439"/>
    <w:rsid w:val="000E34AB"/>
    <w:rsid w:val="000E3805"/>
    <w:rsid w:val="000E3853"/>
    <w:rsid w:val="000E3881"/>
    <w:rsid w:val="000E3ACF"/>
    <w:rsid w:val="000E3B3F"/>
    <w:rsid w:val="000E3B9C"/>
    <w:rsid w:val="000E3E82"/>
    <w:rsid w:val="000E3EDA"/>
    <w:rsid w:val="000E3F0F"/>
    <w:rsid w:val="000E3F98"/>
    <w:rsid w:val="000E4092"/>
    <w:rsid w:val="000E4182"/>
    <w:rsid w:val="000E4187"/>
    <w:rsid w:val="000E4247"/>
    <w:rsid w:val="000E42E2"/>
    <w:rsid w:val="000E42F0"/>
    <w:rsid w:val="000E45AF"/>
    <w:rsid w:val="000E45F8"/>
    <w:rsid w:val="000E460D"/>
    <w:rsid w:val="000E472E"/>
    <w:rsid w:val="000E4940"/>
    <w:rsid w:val="000E4B15"/>
    <w:rsid w:val="000E4B1F"/>
    <w:rsid w:val="000E4B4A"/>
    <w:rsid w:val="000E4BD6"/>
    <w:rsid w:val="000E4CFD"/>
    <w:rsid w:val="000E4D02"/>
    <w:rsid w:val="000E4E9F"/>
    <w:rsid w:val="000E4F41"/>
    <w:rsid w:val="000E50F7"/>
    <w:rsid w:val="000E50FC"/>
    <w:rsid w:val="000E5350"/>
    <w:rsid w:val="000E54E8"/>
    <w:rsid w:val="000E5665"/>
    <w:rsid w:val="000E571B"/>
    <w:rsid w:val="000E574B"/>
    <w:rsid w:val="000E5919"/>
    <w:rsid w:val="000E5992"/>
    <w:rsid w:val="000E59D8"/>
    <w:rsid w:val="000E5C32"/>
    <w:rsid w:val="000E5C39"/>
    <w:rsid w:val="000E5D19"/>
    <w:rsid w:val="000E6044"/>
    <w:rsid w:val="000E6275"/>
    <w:rsid w:val="000E6281"/>
    <w:rsid w:val="000E63DB"/>
    <w:rsid w:val="000E6519"/>
    <w:rsid w:val="000E6685"/>
    <w:rsid w:val="000E67D6"/>
    <w:rsid w:val="000E6808"/>
    <w:rsid w:val="000E6885"/>
    <w:rsid w:val="000E68CF"/>
    <w:rsid w:val="000E6CFA"/>
    <w:rsid w:val="000E6D3B"/>
    <w:rsid w:val="000E6D82"/>
    <w:rsid w:val="000E6D9C"/>
    <w:rsid w:val="000E6EE7"/>
    <w:rsid w:val="000E6FA3"/>
    <w:rsid w:val="000E7071"/>
    <w:rsid w:val="000E737A"/>
    <w:rsid w:val="000E7760"/>
    <w:rsid w:val="000E78F9"/>
    <w:rsid w:val="000E7913"/>
    <w:rsid w:val="000E79C3"/>
    <w:rsid w:val="000E7A3F"/>
    <w:rsid w:val="000E7D03"/>
    <w:rsid w:val="000E7D68"/>
    <w:rsid w:val="000E7E98"/>
    <w:rsid w:val="000E7F70"/>
    <w:rsid w:val="000F00EA"/>
    <w:rsid w:val="000F02DB"/>
    <w:rsid w:val="000F02F6"/>
    <w:rsid w:val="000F0386"/>
    <w:rsid w:val="000F0551"/>
    <w:rsid w:val="000F08F6"/>
    <w:rsid w:val="000F091D"/>
    <w:rsid w:val="000F098E"/>
    <w:rsid w:val="000F0A69"/>
    <w:rsid w:val="000F0AA4"/>
    <w:rsid w:val="000F0AF0"/>
    <w:rsid w:val="000F0BC1"/>
    <w:rsid w:val="000F0D01"/>
    <w:rsid w:val="000F0D7C"/>
    <w:rsid w:val="000F0EF3"/>
    <w:rsid w:val="000F103B"/>
    <w:rsid w:val="000F10EE"/>
    <w:rsid w:val="000F118F"/>
    <w:rsid w:val="000F1497"/>
    <w:rsid w:val="000F14A8"/>
    <w:rsid w:val="000F161B"/>
    <w:rsid w:val="000F16BB"/>
    <w:rsid w:val="000F19BA"/>
    <w:rsid w:val="000F19D7"/>
    <w:rsid w:val="000F1A41"/>
    <w:rsid w:val="000F1AA2"/>
    <w:rsid w:val="000F1B82"/>
    <w:rsid w:val="000F1C49"/>
    <w:rsid w:val="000F1D38"/>
    <w:rsid w:val="000F2035"/>
    <w:rsid w:val="000F237A"/>
    <w:rsid w:val="000F241E"/>
    <w:rsid w:val="000F2537"/>
    <w:rsid w:val="000F2563"/>
    <w:rsid w:val="000F256D"/>
    <w:rsid w:val="000F25AF"/>
    <w:rsid w:val="000F28F5"/>
    <w:rsid w:val="000F295F"/>
    <w:rsid w:val="000F29AC"/>
    <w:rsid w:val="000F2A99"/>
    <w:rsid w:val="000F2AE2"/>
    <w:rsid w:val="000F2B16"/>
    <w:rsid w:val="000F2B42"/>
    <w:rsid w:val="000F2CBE"/>
    <w:rsid w:val="000F2D59"/>
    <w:rsid w:val="000F2E61"/>
    <w:rsid w:val="000F2EC9"/>
    <w:rsid w:val="000F2F4E"/>
    <w:rsid w:val="000F3121"/>
    <w:rsid w:val="000F3165"/>
    <w:rsid w:val="000F337B"/>
    <w:rsid w:val="000F33AB"/>
    <w:rsid w:val="000F3710"/>
    <w:rsid w:val="000F3816"/>
    <w:rsid w:val="000F3981"/>
    <w:rsid w:val="000F3B57"/>
    <w:rsid w:val="000F40B8"/>
    <w:rsid w:val="000F40E9"/>
    <w:rsid w:val="000F4170"/>
    <w:rsid w:val="000F41BA"/>
    <w:rsid w:val="000F4281"/>
    <w:rsid w:val="000F4302"/>
    <w:rsid w:val="000F4357"/>
    <w:rsid w:val="000F455B"/>
    <w:rsid w:val="000F49B0"/>
    <w:rsid w:val="000F4C66"/>
    <w:rsid w:val="000F4F18"/>
    <w:rsid w:val="000F4F83"/>
    <w:rsid w:val="000F4FEF"/>
    <w:rsid w:val="000F508E"/>
    <w:rsid w:val="000F510F"/>
    <w:rsid w:val="000F516C"/>
    <w:rsid w:val="000F53B0"/>
    <w:rsid w:val="000F541F"/>
    <w:rsid w:val="000F551D"/>
    <w:rsid w:val="000F56F8"/>
    <w:rsid w:val="000F5833"/>
    <w:rsid w:val="000F5B45"/>
    <w:rsid w:val="000F5DE0"/>
    <w:rsid w:val="000F5F6C"/>
    <w:rsid w:val="000F6005"/>
    <w:rsid w:val="000F6011"/>
    <w:rsid w:val="000F6154"/>
    <w:rsid w:val="000F6176"/>
    <w:rsid w:val="000F63EB"/>
    <w:rsid w:val="000F6424"/>
    <w:rsid w:val="000F64F1"/>
    <w:rsid w:val="000F6687"/>
    <w:rsid w:val="000F680E"/>
    <w:rsid w:val="000F6960"/>
    <w:rsid w:val="000F6B6E"/>
    <w:rsid w:val="000F6D4E"/>
    <w:rsid w:val="000F6EC1"/>
    <w:rsid w:val="000F6F9F"/>
    <w:rsid w:val="000F7138"/>
    <w:rsid w:val="000F7247"/>
    <w:rsid w:val="000F729B"/>
    <w:rsid w:val="000F73D5"/>
    <w:rsid w:val="000F73D7"/>
    <w:rsid w:val="000F7526"/>
    <w:rsid w:val="000F754A"/>
    <w:rsid w:val="000F77E4"/>
    <w:rsid w:val="000F77E7"/>
    <w:rsid w:val="000F7CDD"/>
    <w:rsid w:val="000F7EAD"/>
    <w:rsid w:val="00100031"/>
    <w:rsid w:val="00100092"/>
    <w:rsid w:val="00100305"/>
    <w:rsid w:val="001003AD"/>
    <w:rsid w:val="001003C5"/>
    <w:rsid w:val="001003C8"/>
    <w:rsid w:val="001003F1"/>
    <w:rsid w:val="0010046C"/>
    <w:rsid w:val="00100493"/>
    <w:rsid w:val="00100698"/>
    <w:rsid w:val="00100806"/>
    <w:rsid w:val="00100960"/>
    <w:rsid w:val="00100BE2"/>
    <w:rsid w:val="00100D17"/>
    <w:rsid w:val="00100D48"/>
    <w:rsid w:val="00101055"/>
    <w:rsid w:val="001011FA"/>
    <w:rsid w:val="00101230"/>
    <w:rsid w:val="0010151A"/>
    <w:rsid w:val="001015EE"/>
    <w:rsid w:val="001016CA"/>
    <w:rsid w:val="00101753"/>
    <w:rsid w:val="00101D08"/>
    <w:rsid w:val="00101D53"/>
    <w:rsid w:val="00101D69"/>
    <w:rsid w:val="00101EBD"/>
    <w:rsid w:val="00101EDE"/>
    <w:rsid w:val="00102203"/>
    <w:rsid w:val="001024CE"/>
    <w:rsid w:val="001024DC"/>
    <w:rsid w:val="0010255B"/>
    <w:rsid w:val="001026CB"/>
    <w:rsid w:val="001026F8"/>
    <w:rsid w:val="00102787"/>
    <w:rsid w:val="00102856"/>
    <w:rsid w:val="00102924"/>
    <w:rsid w:val="0010294C"/>
    <w:rsid w:val="00102A64"/>
    <w:rsid w:val="00102B52"/>
    <w:rsid w:val="00102B66"/>
    <w:rsid w:val="00102D81"/>
    <w:rsid w:val="00102D9D"/>
    <w:rsid w:val="00102DED"/>
    <w:rsid w:val="00102E04"/>
    <w:rsid w:val="0010337F"/>
    <w:rsid w:val="001037AD"/>
    <w:rsid w:val="001037B7"/>
    <w:rsid w:val="001038AC"/>
    <w:rsid w:val="0010394E"/>
    <w:rsid w:val="00103A53"/>
    <w:rsid w:val="00103AC7"/>
    <w:rsid w:val="00103C5C"/>
    <w:rsid w:val="00103FA3"/>
    <w:rsid w:val="00104013"/>
    <w:rsid w:val="001040E2"/>
    <w:rsid w:val="001040ED"/>
    <w:rsid w:val="00104299"/>
    <w:rsid w:val="00104401"/>
    <w:rsid w:val="00104596"/>
    <w:rsid w:val="0010476D"/>
    <w:rsid w:val="001048EB"/>
    <w:rsid w:val="0010493F"/>
    <w:rsid w:val="00104B2E"/>
    <w:rsid w:val="00104CCE"/>
    <w:rsid w:val="00104E6E"/>
    <w:rsid w:val="00105194"/>
    <w:rsid w:val="00105220"/>
    <w:rsid w:val="0010527B"/>
    <w:rsid w:val="001052D7"/>
    <w:rsid w:val="001053D2"/>
    <w:rsid w:val="00105466"/>
    <w:rsid w:val="0010547B"/>
    <w:rsid w:val="00105582"/>
    <w:rsid w:val="00105641"/>
    <w:rsid w:val="0010574B"/>
    <w:rsid w:val="001058A4"/>
    <w:rsid w:val="00105915"/>
    <w:rsid w:val="00105A3E"/>
    <w:rsid w:val="00105A4A"/>
    <w:rsid w:val="00105A58"/>
    <w:rsid w:val="00105A85"/>
    <w:rsid w:val="00105AC4"/>
    <w:rsid w:val="00105B42"/>
    <w:rsid w:val="00105B5B"/>
    <w:rsid w:val="00105CB2"/>
    <w:rsid w:val="00105D90"/>
    <w:rsid w:val="00105DC6"/>
    <w:rsid w:val="0010603B"/>
    <w:rsid w:val="0010605F"/>
    <w:rsid w:val="0010610B"/>
    <w:rsid w:val="0010612B"/>
    <w:rsid w:val="0010638C"/>
    <w:rsid w:val="0010640E"/>
    <w:rsid w:val="0010643D"/>
    <w:rsid w:val="001064C6"/>
    <w:rsid w:val="00106537"/>
    <w:rsid w:val="00106731"/>
    <w:rsid w:val="00106784"/>
    <w:rsid w:val="00106C1C"/>
    <w:rsid w:val="00106D4C"/>
    <w:rsid w:val="00106E58"/>
    <w:rsid w:val="00106EB8"/>
    <w:rsid w:val="00106FF4"/>
    <w:rsid w:val="0010713E"/>
    <w:rsid w:val="0010728B"/>
    <w:rsid w:val="001072FF"/>
    <w:rsid w:val="001074E6"/>
    <w:rsid w:val="0010752D"/>
    <w:rsid w:val="001077E5"/>
    <w:rsid w:val="00107823"/>
    <w:rsid w:val="00107834"/>
    <w:rsid w:val="0010785A"/>
    <w:rsid w:val="0010785D"/>
    <w:rsid w:val="001079A2"/>
    <w:rsid w:val="00107D39"/>
    <w:rsid w:val="00107E91"/>
    <w:rsid w:val="001100A3"/>
    <w:rsid w:val="0011010A"/>
    <w:rsid w:val="0011017B"/>
    <w:rsid w:val="001105C5"/>
    <w:rsid w:val="00110621"/>
    <w:rsid w:val="0011066B"/>
    <w:rsid w:val="001106C3"/>
    <w:rsid w:val="00110A1C"/>
    <w:rsid w:val="00110AE5"/>
    <w:rsid w:val="00110BFF"/>
    <w:rsid w:val="00110E39"/>
    <w:rsid w:val="00111003"/>
    <w:rsid w:val="001110B9"/>
    <w:rsid w:val="001110F7"/>
    <w:rsid w:val="00111192"/>
    <w:rsid w:val="0011129F"/>
    <w:rsid w:val="0011132C"/>
    <w:rsid w:val="001113E2"/>
    <w:rsid w:val="0011143D"/>
    <w:rsid w:val="0011148A"/>
    <w:rsid w:val="001114C8"/>
    <w:rsid w:val="00111642"/>
    <w:rsid w:val="001116B6"/>
    <w:rsid w:val="00111784"/>
    <w:rsid w:val="001117C4"/>
    <w:rsid w:val="0011185E"/>
    <w:rsid w:val="0011189A"/>
    <w:rsid w:val="00111949"/>
    <w:rsid w:val="00111BC6"/>
    <w:rsid w:val="00111BE4"/>
    <w:rsid w:val="00111C95"/>
    <w:rsid w:val="00111D69"/>
    <w:rsid w:val="00111F31"/>
    <w:rsid w:val="0011206F"/>
    <w:rsid w:val="00112149"/>
    <w:rsid w:val="001126CD"/>
    <w:rsid w:val="00112745"/>
    <w:rsid w:val="0011276B"/>
    <w:rsid w:val="0011298D"/>
    <w:rsid w:val="00112AE6"/>
    <w:rsid w:val="00112B18"/>
    <w:rsid w:val="00112B75"/>
    <w:rsid w:val="00113191"/>
    <w:rsid w:val="001131B2"/>
    <w:rsid w:val="00113293"/>
    <w:rsid w:val="001134DB"/>
    <w:rsid w:val="0011350A"/>
    <w:rsid w:val="0011355F"/>
    <w:rsid w:val="0011356E"/>
    <w:rsid w:val="001135F4"/>
    <w:rsid w:val="00113724"/>
    <w:rsid w:val="0011380F"/>
    <w:rsid w:val="0011382D"/>
    <w:rsid w:val="0011397D"/>
    <w:rsid w:val="00113B00"/>
    <w:rsid w:val="00113C34"/>
    <w:rsid w:val="00113C67"/>
    <w:rsid w:val="00113DDD"/>
    <w:rsid w:val="00113E01"/>
    <w:rsid w:val="00113E22"/>
    <w:rsid w:val="00113EA6"/>
    <w:rsid w:val="00114020"/>
    <w:rsid w:val="001140F0"/>
    <w:rsid w:val="00114205"/>
    <w:rsid w:val="0011422A"/>
    <w:rsid w:val="00114238"/>
    <w:rsid w:val="00114413"/>
    <w:rsid w:val="0011462E"/>
    <w:rsid w:val="0011467A"/>
    <w:rsid w:val="001146B4"/>
    <w:rsid w:val="001147E4"/>
    <w:rsid w:val="00114896"/>
    <w:rsid w:val="00114A32"/>
    <w:rsid w:val="00114BCE"/>
    <w:rsid w:val="00114BDA"/>
    <w:rsid w:val="00114D74"/>
    <w:rsid w:val="00114E11"/>
    <w:rsid w:val="00114F1E"/>
    <w:rsid w:val="00114F26"/>
    <w:rsid w:val="00114F48"/>
    <w:rsid w:val="00114FD6"/>
    <w:rsid w:val="001152C8"/>
    <w:rsid w:val="001152EB"/>
    <w:rsid w:val="0011536C"/>
    <w:rsid w:val="001153CB"/>
    <w:rsid w:val="0011553E"/>
    <w:rsid w:val="001155EB"/>
    <w:rsid w:val="001155F2"/>
    <w:rsid w:val="0011560B"/>
    <w:rsid w:val="001156E1"/>
    <w:rsid w:val="00115900"/>
    <w:rsid w:val="00115C87"/>
    <w:rsid w:val="001160C3"/>
    <w:rsid w:val="001162F7"/>
    <w:rsid w:val="00116460"/>
    <w:rsid w:val="00116661"/>
    <w:rsid w:val="00116730"/>
    <w:rsid w:val="00116884"/>
    <w:rsid w:val="00116B30"/>
    <w:rsid w:val="00116BB4"/>
    <w:rsid w:val="00116D44"/>
    <w:rsid w:val="00116E1C"/>
    <w:rsid w:val="00116EB7"/>
    <w:rsid w:val="00116EE4"/>
    <w:rsid w:val="00116F19"/>
    <w:rsid w:val="00116FBB"/>
    <w:rsid w:val="00116FC7"/>
    <w:rsid w:val="00116FE3"/>
    <w:rsid w:val="00117227"/>
    <w:rsid w:val="0011741F"/>
    <w:rsid w:val="0011746F"/>
    <w:rsid w:val="00117609"/>
    <w:rsid w:val="00117A45"/>
    <w:rsid w:val="00117AE8"/>
    <w:rsid w:val="00117B82"/>
    <w:rsid w:val="00117B97"/>
    <w:rsid w:val="00117C98"/>
    <w:rsid w:val="00117CC7"/>
    <w:rsid w:val="00117DA6"/>
    <w:rsid w:val="00117EA7"/>
    <w:rsid w:val="00120109"/>
    <w:rsid w:val="00120220"/>
    <w:rsid w:val="001202DC"/>
    <w:rsid w:val="00120303"/>
    <w:rsid w:val="00120920"/>
    <w:rsid w:val="00120B00"/>
    <w:rsid w:val="00120B80"/>
    <w:rsid w:val="00120C0E"/>
    <w:rsid w:val="00120DE8"/>
    <w:rsid w:val="00120EF6"/>
    <w:rsid w:val="00120F3E"/>
    <w:rsid w:val="001210B3"/>
    <w:rsid w:val="001210F7"/>
    <w:rsid w:val="0012112B"/>
    <w:rsid w:val="001212E1"/>
    <w:rsid w:val="001213FB"/>
    <w:rsid w:val="00121461"/>
    <w:rsid w:val="001214BD"/>
    <w:rsid w:val="001215A5"/>
    <w:rsid w:val="001215EA"/>
    <w:rsid w:val="00121693"/>
    <w:rsid w:val="001216BC"/>
    <w:rsid w:val="00121886"/>
    <w:rsid w:val="001218D4"/>
    <w:rsid w:val="0012190D"/>
    <w:rsid w:val="00121B03"/>
    <w:rsid w:val="00121B9F"/>
    <w:rsid w:val="00121C30"/>
    <w:rsid w:val="00121CF6"/>
    <w:rsid w:val="00121DFE"/>
    <w:rsid w:val="00121F16"/>
    <w:rsid w:val="0012200C"/>
    <w:rsid w:val="001220C0"/>
    <w:rsid w:val="001220D3"/>
    <w:rsid w:val="00122252"/>
    <w:rsid w:val="0012237C"/>
    <w:rsid w:val="001223AD"/>
    <w:rsid w:val="0012248F"/>
    <w:rsid w:val="001225D3"/>
    <w:rsid w:val="0012269C"/>
    <w:rsid w:val="001227C9"/>
    <w:rsid w:val="001228F3"/>
    <w:rsid w:val="00122A17"/>
    <w:rsid w:val="00122B2F"/>
    <w:rsid w:val="00122B4B"/>
    <w:rsid w:val="00122CED"/>
    <w:rsid w:val="00122D7B"/>
    <w:rsid w:val="00122E11"/>
    <w:rsid w:val="0012301D"/>
    <w:rsid w:val="0012308B"/>
    <w:rsid w:val="001230D8"/>
    <w:rsid w:val="0012320A"/>
    <w:rsid w:val="00123255"/>
    <w:rsid w:val="001232F3"/>
    <w:rsid w:val="001233BD"/>
    <w:rsid w:val="0012345F"/>
    <w:rsid w:val="00123494"/>
    <w:rsid w:val="0012357E"/>
    <w:rsid w:val="0012363F"/>
    <w:rsid w:val="0012376B"/>
    <w:rsid w:val="0012378B"/>
    <w:rsid w:val="001237D8"/>
    <w:rsid w:val="00123A1F"/>
    <w:rsid w:val="00123F0B"/>
    <w:rsid w:val="00124112"/>
    <w:rsid w:val="00124265"/>
    <w:rsid w:val="0012432D"/>
    <w:rsid w:val="001244DB"/>
    <w:rsid w:val="0012465A"/>
    <w:rsid w:val="00124672"/>
    <w:rsid w:val="001246A2"/>
    <w:rsid w:val="001246F0"/>
    <w:rsid w:val="00124725"/>
    <w:rsid w:val="001247D1"/>
    <w:rsid w:val="0012481F"/>
    <w:rsid w:val="00124875"/>
    <w:rsid w:val="00124C81"/>
    <w:rsid w:val="00124E7C"/>
    <w:rsid w:val="00124F4A"/>
    <w:rsid w:val="00124F85"/>
    <w:rsid w:val="00124F9D"/>
    <w:rsid w:val="00125124"/>
    <w:rsid w:val="001255B9"/>
    <w:rsid w:val="001256EF"/>
    <w:rsid w:val="00125777"/>
    <w:rsid w:val="0012591E"/>
    <w:rsid w:val="00125AC9"/>
    <w:rsid w:val="001264F1"/>
    <w:rsid w:val="00126765"/>
    <w:rsid w:val="001268F4"/>
    <w:rsid w:val="001269B5"/>
    <w:rsid w:val="00126A59"/>
    <w:rsid w:val="00126D7C"/>
    <w:rsid w:val="00126DEF"/>
    <w:rsid w:val="00126EEA"/>
    <w:rsid w:val="00127013"/>
    <w:rsid w:val="001270C5"/>
    <w:rsid w:val="00127129"/>
    <w:rsid w:val="0012714F"/>
    <w:rsid w:val="0012728C"/>
    <w:rsid w:val="001275D0"/>
    <w:rsid w:val="00127692"/>
    <w:rsid w:val="00127695"/>
    <w:rsid w:val="0012787F"/>
    <w:rsid w:val="001278FE"/>
    <w:rsid w:val="00127920"/>
    <w:rsid w:val="001279A7"/>
    <w:rsid w:val="001279C7"/>
    <w:rsid w:val="00127BB1"/>
    <w:rsid w:val="00127BE5"/>
    <w:rsid w:val="00127CD7"/>
    <w:rsid w:val="00127D46"/>
    <w:rsid w:val="00127D68"/>
    <w:rsid w:val="00127EF6"/>
    <w:rsid w:val="00127F0C"/>
    <w:rsid w:val="00127FAB"/>
    <w:rsid w:val="0013033C"/>
    <w:rsid w:val="0013047B"/>
    <w:rsid w:val="00130509"/>
    <w:rsid w:val="00130640"/>
    <w:rsid w:val="00130773"/>
    <w:rsid w:val="001307CE"/>
    <w:rsid w:val="001308DB"/>
    <w:rsid w:val="001309B1"/>
    <w:rsid w:val="001309E3"/>
    <w:rsid w:val="00130A0A"/>
    <w:rsid w:val="00130B48"/>
    <w:rsid w:val="00130CB4"/>
    <w:rsid w:val="00130D05"/>
    <w:rsid w:val="00130D2C"/>
    <w:rsid w:val="00130D94"/>
    <w:rsid w:val="00130F8F"/>
    <w:rsid w:val="00130FAC"/>
    <w:rsid w:val="00130FC0"/>
    <w:rsid w:val="00130FCC"/>
    <w:rsid w:val="00131064"/>
    <w:rsid w:val="00131149"/>
    <w:rsid w:val="001311C0"/>
    <w:rsid w:val="00131223"/>
    <w:rsid w:val="00131303"/>
    <w:rsid w:val="0013131B"/>
    <w:rsid w:val="001313B6"/>
    <w:rsid w:val="00131424"/>
    <w:rsid w:val="0013149D"/>
    <w:rsid w:val="001315D7"/>
    <w:rsid w:val="0013175F"/>
    <w:rsid w:val="0013180E"/>
    <w:rsid w:val="00131B30"/>
    <w:rsid w:val="00131BA4"/>
    <w:rsid w:val="00131BE6"/>
    <w:rsid w:val="00131C14"/>
    <w:rsid w:val="00131D40"/>
    <w:rsid w:val="00131D69"/>
    <w:rsid w:val="00131E5C"/>
    <w:rsid w:val="00131E71"/>
    <w:rsid w:val="00131F3A"/>
    <w:rsid w:val="001320AC"/>
    <w:rsid w:val="0013228A"/>
    <w:rsid w:val="00132910"/>
    <w:rsid w:val="001329BD"/>
    <w:rsid w:val="00132AC7"/>
    <w:rsid w:val="00132BB1"/>
    <w:rsid w:val="00132C33"/>
    <w:rsid w:val="00132D76"/>
    <w:rsid w:val="00132DF1"/>
    <w:rsid w:val="001330C1"/>
    <w:rsid w:val="00133101"/>
    <w:rsid w:val="00133133"/>
    <w:rsid w:val="0013319F"/>
    <w:rsid w:val="001331B4"/>
    <w:rsid w:val="00133303"/>
    <w:rsid w:val="00133364"/>
    <w:rsid w:val="0013347A"/>
    <w:rsid w:val="00133509"/>
    <w:rsid w:val="00133686"/>
    <w:rsid w:val="0013368D"/>
    <w:rsid w:val="001336BE"/>
    <w:rsid w:val="00133849"/>
    <w:rsid w:val="00133C8F"/>
    <w:rsid w:val="00133E41"/>
    <w:rsid w:val="00133F44"/>
    <w:rsid w:val="00134086"/>
    <w:rsid w:val="0013425F"/>
    <w:rsid w:val="00134453"/>
    <w:rsid w:val="00134734"/>
    <w:rsid w:val="001347E9"/>
    <w:rsid w:val="001347F9"/>
    <w:rsid w:val="00134923"/>
    <w:rsid w:val="00134C1D"/>
    <w:rsid w:val="00134E87"/>
    <w:rsid w:val="00134EAB"/>
    <w:rsid w:val="0013502A"/>
    <w:rsid w:val="0013502F"/>
    <w:rsid w:val="001350B5"/>
    <w:rsid w:val="001350DC"/>
    <w:rsid w:val="001354D2"/>
    <w:rsid w:val="001354F7"/>
    <w:rsid w:val="0013556F"/>
    <w:rsid w:val="00135746"/>
    <w:rsid w:val="00135758"/>
    <w:rsid w:val="00135773"/>
    <w:rsid w:val="001357CB"/>
    <w:rsid w:val="001357DB"/>
    <w:rsid w:val="001359C4"/>
    <w:rsid w:val="00135ACB"/>
    <w:rsid w:val="00135D95"/>
    <w:rsid w:val="001360C6"/>
    <w:rsid w:val="00136128"/>
    <w:rsid w:val="001362B2"/>
    <w:rsid w:val="001363F3"/>
    <w:rsid w:val="00136418"/>
    <w:rsid w:val="0013641D"/>
    <w:rsid w:val="0013651A"/>
    <w:rsid w:val="001365AF"/>
    <w:rsid w:val="001366E5"/>
    <w:rsid w:val="00136738"/>
    <w:rsid w:val="0013685B"/>
    <w:rsid w:val="00136B0C"/>
    <w:rsid w:val="00136CE1"/>
    <w:rsid w:val="00136D1D"/>
    <w:rsid w:val="00136EEF"/>
    <w:rsid w:val="00137203"/>
    <w:rsid w:val="00137435"/>
    <w:rsid w:val="0013760C"/>
    <w:rsid w:val="00137729"/>
    <w:rsid w:val="0013778E"/>
    <w:rsid w:val="001377ED"/>
    <w:rsid w:val="00137A58"/>
    <w:rsid w:val="00137CB7"/>
    <w:rsid w:val="00137EC7"/>
    <w:rsid w:val="00140505"/>
    <w:rsid w:val="00140634"/>
    <w:rsid w:val="00140692"/>
    <w:rsid w:val="001408BE"/>
    <w:rsid w:val="001408C6"/>
    <w:rsid w:val="00140A31"/>
    <w:rsid w:val="00140CC2"/>
    <w:rsid w:val="00140E4B"/>
    <w:rsid w:val="00140F45"/>
    <w:rsid w:val="0014102F"/>
    <w:rsid w:val="00141181"/>
    <w:rsid w:val="001411B5"/>
    <w:rsid w:val="00141211"/>
    <w:rsid w:val="00141222"/>
    <w:rsid w:val="00141293"/>
    <w:rsid w:val="00141691"/>
    <w:rsid w:val="001416C3"/>
    <w:rsid w:val="00141781"/>
    <w:rsid w:val="00141908"/>
    <w:rsid w:val="0014191C"/>
    <w:rsid w:val="001419E8"/>
    <w:rsid w:val="00141E9D"/>
    <w:rsid w:val="0014239E"/>
    <w:rsid w:val="001423E5"/>
    <w:rsid w:val="001425D0"/>
    <w:rsid w:val="001427FB"/>
    <w:rsid w:val="00142861"/>
    <w:rsid w:val="001428D7"/>
    <w:rsid w:val="00142A66"/>
    <w:rsid w:val="00142AE1"/>
    <w:rsid w:val="00142BBD"/>
    <w:rsid w:val="00142C2C"/>
    <w:rsid w:val="00142D8D"/>
    <w:rsid w:val="00142E4E"/>
    <w:rsid w:val="00142E9E"/>
    <w:rsid w:val="00142EB7"/>
    <w:rsid w:val="00142EE2"/>
    <w:rsid w:val="00142F44"/>
    <w:rsid w:val="00143107"/>
    <w:rsid w:val="0014321A"/>
    <w:rsid w:val="001434FA"/>
    <w:rsid w:val="001435BF"/>
    <w:rsid w:val="0014371F"/>
    <w:rsid w:val="0014372E"/>
    <w:rsid w:val="001437C1"/>
    <w:rsid w:val="0014387C"/>
    <w:rsid w:val="00143952"/>
    <w:rsid w:val="00143FCD"/>
    <w:rsid w:val="0014400B"/>
    <w:rsid w:val="001442F1"/>
    <w:rsid w:val="001446F1"/>
    <w:rsid w:val="00144730"/>
    <w:rsid w:val="00144785"/>
    <w:rsid w:val="001448C6"/>
    <w:rsid w:val="001449CC"/>
    <w:rsid w:val="00144A0D"/>
    <w:rsid w:val="00144BC1"/>
    <w:rsid w:val="00144C13"/>
    <w:rsid w:val="00144E1D"/>
    <w:rsid w:val="00144FE3"/>
    <w:rsid w:val="00145030"/>
    <w:rsid w:val="00145251"/>
    <w:rsid w:val="00145393"/>
    <w:rsid w:val="00145578"/>
    <w:rsid w:val="001455E1"/>
    <w:rsid w:val="0014573C"/>
    <w:rsid w:val="0014576D"/>
    <w:rsid w:val="00145834"/>
    <w:rsid w:val="001458FE"/>
    <w:rsid w:val="00145A4E"/>
    <w:rsid w:val="00145A5E"/>
    <w:rsid w:val="00145A87"/>
    <w:rsid w:val="00145B54"/>
    <w:rsid w:val="00145DBB"/>
    <w:rsid w:val="00145E29"/>
    <w:rsid w:val="00145E4F"/>
    <w:rsid w:val="0014622E"/>
    <w:rsid w:val="001465D5"/>
    <w:rsid w:val="00146672"/>
    <w:rsid w:val="001469F8"/>
    <w:rsid w:val="00146AD4"/>
    <w:rsid w:val="00146B4D"/>
    <w:rsid w:val="00146B81"/>
    <w:rsid w:val="00146D12"/>
    <w:rsid w:val="00146D5F"/>
    <w:rsid w:val="00146F1C"/>
    <w:rsid w:val="00147137"/>
    <w:rsid w:val="0014749F"/>
    <w:rsid w:val="001477E1"/>
    <w:rsid w:val="00147873"/>
    <w:rsid w:val="001479D8"/>
    <w:rsid w:val="00147C9D"/>
    <w:rsid w:val="00147E7A"/>
    <w:rsid w:val="001500EE"/>
    <w:rsid w:val="00150260"/>
    <w:rsid w:val="00150269"/>
    <w:rsid w:val="0015038B"/>
    <w:rsid w:val="00150467"/>
    <w:rsid w:val="00150626"/>
    <w:rsid w:val="001506BA"/>
    <w:rsid w:val="00150856"/>
    <w:rsid w:val="001508D6"/>
    <w:rsid w:val="00150C34"/>
    <w:rsid w:val="00150C7B"/>
    <w:rsid w:val="00150D2A"/>
    <w:rsid w:val="00150E34"/>
    <w:rsid w:val="00150F10"/>
    <w:rsid w:val="00150FD8"/>
    <w:rsid w:val="001512FD"/>
    <w:rsid w:val="001513A8"/>
    <w:rsid w:val="001513FA"/>
    <w:rsid w:val="001514BC"/>
    <w:rsid w:val="001514C8"/>
    <w:rsid w:val="0015197D"/>
    <w:rsid w:val="0015198D"/>
    <w:rsid w:val="00151998"/>
    <w:rsid w:val="001519C3"/>
    <w:rsid w:val="00151B69"/>
    <w:rsid w:val="00151BAD"/>
    <w:rsid w:val="00151EEC"/>
    <w:rsid w:val="00151F50"/>
    <w:rsid w:val="00151F5E"/>
    <w:rsid w:val="00151F9D"/>
    <w:rsid w:val="00151FB8"/>
    <w:rsid w:val="00152243"/>
    <w:rsid w:val="0015229A"/>
    <w:rsid w:val="001524FB"/>
    <w:rsid w:val="00152647"/>
    <w:rsid w:val="001526CA"/>
    <w:rsid w:val="00152904"/>
    <w:rsid w:val="00152A2E"/>
    <w:rsid w:val="00152B42"/>
    <w:rsid w:val="00152C3A"/>
    <w:rsid w:val="00152CA2"/>
    <w:rsid w:val="00152E29"/>
    <w:rsid w:val="00152F15"/>
    <w:rsid w:val="001532C5"/>
    <w:rsid w:val="001533AC"/>
    <w:rsid w:val="00153409"/>
    <w:rsid w:val="00153413"/>
    <w:rsid w:val="0015343E"/>
    <w:rsid w:val="00153563"/>
    <w:rsid w:val="0015388C"/>
    <w:rsid w:val="00153935"/>
    <w:rsid w:val="00153A6D"/>
    <w:rsid w:val="00153A92"/>
    <w:rsid w:val="00153B44"/>
    <w:rsid w:val="00153B72"/>
    <w:rsid w:val="001540B0"/>
    <w:rsid w:val="00154189"/>
    <w:rsid w:val="001541E0"/>
    <w:rsid w:val="00154288"/>
    <w:rsid w:val="001542C6"/>
    <w:rsid w:val="0015438D"/>
    <w:rsid w:val="001543A0"/>
    <w:rsid w:val="001546C5"/>
    <w:rsid w:val="0015473E"/>
    <w:rsid w:val="001548C3"/>
    <w:rsid w:val="0015494F"/>
    <w:rsid w:val="001549D4"/>
    <w:rsid w:val="00154A77"/>
    <w:rsid w:val="00154B77"/>
    <w:rsid w:val="00154C4B"/>
    <w:rsid w:val="00154D38"/>
    <w:rsid w:val="00154EB4"/>
    <w:rsid w:val="00154F50"/>
    <w:rsid w:val="00154FFA"/>
    <w:rsid w:val="00155035"/>
    <w:rsid w:val="001550E9"/>
    <w:rsid w:val="00155256"/>
    <w:rsid w:val="00155439"/>
    <w:rsid w:val="00155493"/>
    <w:rsid w:val="00155652"/>
    <w:rsid w:val="001557BD"/>
    <w:rsid w:val="00155856"/>
    <w:rsid w:val="001558C0"/>
    <w:rsid w:val="00155ABC"/>
    <w:rsid w:val="00155E75"/>
    <w:rsid w:val="00155FD0"/>
    <w:rsid w:val="00156002"/>
    <w:rsid w:val="0015604D"/>
    <w:rsid w:val="001561BD"/>
    <w:rsid w:val="00156202"/>
    <w:rsid w:val="00156265"/>
    <w:rsid w:val="001562D4"/>
    <w:rsid w:val="0015648D"/>
    <w:rsid w:val="00156750"/>
    <w:rsid w:val="001567B7"/>
    <w:rsid w:val="001569F0"/>
    <w:rsid w:val="00156A07"/>
    <w:rsid w:val="00156B12"/>
    <w:rsid w:val="00156D01"/>
    <w:rsid w:val="00156E6C"/>
    <w:rsid w:val="00156FE0"/>
    <w:rsid w:val="00157215"/>
    <w:rsid w:val="0015739F"/>
    <w:rsid w:val="001575D9"/>
    <w:rsid w:val="001576B9"/>
    <w:rsid w:val="001576C9"/>
    <w:rsid w:val="0015786F"/>
    <w:rsid w:val="001578FA"/>
    <w:rsid w:val="00157A20"/>
    <w:rsid w:val="00157C53"/>
    <w:rsid w:val="00157D46"/>
    <w:rsid w:val="00157FD3"/>
    <w:rsid w:val="00160093"/>
    <w:rsid w:val="00160226"/>
    <w:rsid w:val="00160347"/>
    <w:rsid w:val="0016053B"/>
    <w:rsid w:val="00160577"/>
    <w:rsid w:val="0016057E"/>
    <w:rsid w:val="00160779"/>
    <w:rsid w:val="00160987"/>
    <w:rsid w:val="00160A3E"/>
    <w:rsid w:val="00160AB4"/>
    <w:rsid w:val="00160CC3"/>
    <w:rsid w:val="001610D5"/>
    <w:rsid w:val="001612FB"/>
    <w:rsid w:val="00161501"/>
    <w:rsid w:val="0016168E"/>
    <w:rsid w:val="00161708"/>
    <w:rsid w:val="001617E2"/>
    <w:rsid w:val="001618CB"/>
    <w:rsid w:val="001618D0"/>
    <w:rsid w:val="001619E1"/>
    <w:rsid w:val="00161A08"/>
    <w:rsid w:val="00161B74"/>
    <w:rsid w:val="00161E5D"/>
    <w:rsid w:val="001620DE"/>
    <w:rsid w:val="001621FA"/>
    <w:rsid w:val="00162313"/>
    <w:rsid w:val="00162383"/>
    <w:rsid w:val="00162489"/>
    <w:rsid w:val="001624CD"/>
    <w:rsid w:val="0016260B"/>
    <w:rsid w:val="001626B8"/>
    <w:rsid w:val="00162713"/>
    <w:rsid w:val="00162725"/>
    <w:rsid w:val="00162B3D"/>
    <w:rsid w:val="00162B6D"/>
    <w:rsid w:val="00162CAE"/>
    <w:rsid w:val="00162E8E"/>
    <w:rsid w:val="00162F0F"/>
    <w:rsid w:val="0016307E"/>
    <w:rsid w:val="00163148"/>
    <w:rsid w:val="001631A5"/>
    <w:rsid w:val="001633AE"/>
    <w:rsid w:val="001636F5"/>
    <w:rsid w:val="00163901"/>
    <w:rsid w:val="00163A3E"/>
    <w:rsid w:val="00163A6A"/>
    <w:rsid w:val="00163CE0"/>
    <w:rsid w:val="00163D8A"/>
    <w:rsid w:val="001640B0"/>
    <w:rsid w:val="001642F0"/>
    <w:rsid w:val="001642F3"/>
    <w:rsid w:val="00164310"/>
    <w:rsid w:val="00164362"/>
    <w:rsid w:val="0016436E"/>
    <w:rsid w:val="001644CE"/>
    <w:rsid w:val="001647AF"/>
    <w:rsid w:val="00164B6E"/>
    <w:rsid w:val="00164CFB"/>
    <w:rsid w:val="00164D02"/>
    <w:rsid w:val="00164E9D"/>
    <w:rsid w:val="00165092"/>
    <w:rsid w:val="0016513B"/>
    <w:rsid w:val="0016516A"/>
    <w:rsid w:val="00165270"/>
    <w:rsid w:val="001652F2"/>
    <w:rsid w:val="0016545C"/>
    <w:rsid w:val="00165463"/>
    <w:rsid w:val="001655D9"/>
    <w:rsid w:val="00165A41"/>
    <w:rsid w:val="00165B64"/>
    <w:rsid w:val="00165EDC"/>
    <w:rsid w:val="00165F10"/>
    <w:rsid w:val="00166005"/>
    <w:rsid w:val="00166574"/>
    <w:rsid w:val="0016668B"/>
    <w:rsid w:val="00166695"/>
    <w:rsid w:val="00166701"/>
    <w:rsid w:val="00166832"/>
    <w:rsid w:val="001669C6"/>
    <w:rsid w:val="00166AD6"/>
    <w:rsid w:val="00166B44"/>
    <w:rsid w:val="00166D00"/>
    <w:rsid w:val="00166F2A"/>
    <w:rsid w:val="00166FF9"/>
    <w:rsid w:val="001670A0"/>
    <w:rsid w:val="00167102"/>
    <w:rsid w:val="00167252"/>
    <w:rsid w:val="00167529"/>
    <w:rsid w:val="00167552"/>
    <w:rsid w:val="00167558"/>
    <w:rsid w:val="0016767A"/>
    <w:rsid w:val="001676F7"/>
    <w:rsid w:val="00167709"/>
    <w:rsid w:val="00167771"/>
    <w:rsid w:val="001679A4"/>
    <w:rsid w:val="00167B8C"/>
    <w:rsid w:val="00167D82"/>
    <w:rsid w:val="00167FE0"/>
    <w:rsid w:val="0017010A"/>
    <w:rsid w:val="0017032E"/>
    <w:rsid w:val="0017036C"/>
    <w:rsid w:val="00170403"/>
    <w:rsid w:val="001704A2"/>
    <w:rsid w:val="001705D1"/>
    <w:rsid w:val="001706EB"/>
    <w:rsid w:val="00170755"/>
    <w:rsid w:val="001708C1"/>
    <w:rsid w:val="0017094C"/>
    <w:rsid w:val="00170B30"/>
    <w:rsid w:val="00170BAD"/>
    <w:rsid w:val="00170BDA"/>
    <w:rsid w:val="00170DE0"/>
    <w:rsid w:val="00171148"/>
    <w:rsid w:val="001711A5"/>
    <w:rsid w:val="001711EB"/>
    <w:rsid w:val="001712E3"/>
    <w:rsid w:val="001716AE"/>
    <w:rsid w:val="001717C1"/>
    <w:rsid w:val="0017180F"/>
    <w:rsid w:val="001719BE"/>
    <w:rsid w:val="00171BDE"/>
    <w:rsid w:val="00171C77"/>
    <w:rsid w:val="00171CE8"/>
    <w:rsid w:val="00171D7C"/>
    <w:rsid w:val="0017202E"/>
    <w:rsid w:val="00172351"/>
    <w:rsid w:val="00172430"/>
    <w:rsid w:val="00172440"/>
    <w:rsid w:val="0017261A"/>
    <w:rsid w:val="0017274D"/>
    <w:rsid w:val="00172928"/>
    <w:rsid w:val="00172973"/>
    <w:rsid w:val="001729F3"/>
    <w:rsid w:val="00172C65"/>
    <w:rsid w:val="00172F2F"/>
    <w:rsid w:val="00172F58"/>
    <w:rsid w:val="0017313F"/>
    <w:rsid w:val="001732DF"/>
    <w:rsid w:val="001733FD"/>
    <w:rsid w:val="001738CC"/>
    <w:rsid w:val="00173B21"/>
    <w:rsid w:val="00173BD4"/>
    <w:rsid w:val="00173C50"/>
    <w:rsid w:val="00173C85"/>
    <w:rsid w:val="00173CB7"/>
    <w:rsid w:val="00173CBA"/>
    <w:rsid w:val="00174035"/>
    <w:rsid w:val="00174096"/>
    <w:rsid w:val="00174370"/>
    <w:rsid w:val="001744C6"/>
    <w:rsid w:val="00174897"/>
    <w:rsid w:val="00174C48"/>
    <w:rsid w:val="00174DCD"/>
    <w:rsid w:val="00174E4D"/>
    <w:rsid w:val="0017526D"/>
    <w:rsid w:val="0017527A"/>
    <w:rsid w:val="001752C2"/>
    <w:rsid w:val="00175516"/>
    <w:rsid w:val="00175586"/>
    <w:rsid w:val="00175588"/>
    <w:rsid w:val="00175B8A"/>
    <w:rsid w:val="00175CE4"/>
    <w:rsid w:val="00175E73"/>
    <w:rsid w:val="00175E85"/>
    <w:rsid w:val="00175ECB"/>
    <w:rsid w:val="001761CB"/>
    <w:rsid w:val="001761EB"/>
    <w:rsid w:val="00176230"/>
    <w:rsid w:val="001762CA"/>
    <w:rsid w:val="0017648F"/>
    <w:rsid w:val="001765E6"/>
    <w:rsid w:val="001765FE"/>
    <w:rsid w:val="0017673E"/>
    <w:rsid w:val="00176D96"/>
    <w:rsid w:val="00177099"/>
    <w:rsid w:val="001770EF"/>
    <w:rsid w:val="00177108"/>
    <w:rsid w:val="00177257"/>
    <w:rsid w:val="001772B4"/>
    <w:rsid w:val="00177383"/>
    <w:rsid w:val="001775B6"/>
    <w:rsid w:val="001775CB"/>
    <w:rsid w:val="00177623"/>
    <w:rsid w:val="001777B0"/>
    <w:rsid w:val="001777C3"/>
    <w:rsid w:val="001777FE"/>
    <w:rsid w:val="00177AA0"/>
    <w:rsid w:val="00177B59"/>
    <w:rsid w:val="00177DCE"/>
    <w:rsid w:val="00177E6E"/>
    <w:rsid w:val="00177ED7"/>
    <w:rsid w:val="00177F24"/>
    <w:rsid w:val="00177F8C"/>
    <w:rsid w:val="0018064E"/>
    <w:rsid w:val="0018088C"/>
    <w:rsid w:val="001808C8"/>
    <w:rsid w:val="00180951"/>
    <w:rsid w:val="00180985"/>
    <w:rsid w:val="00180DBB"/>
    <w:rsid w:val="00180F1B"/>
    <w:rsid w:val="00181048"/>
    <w:rsid w:val="00181320"/>
    <w:rsid w:val="00181326"/>
    <w:rsid w:val="00181373"/>
    <w:rsid w:val="00181452"/>
    <w:rsid w:val="00181721"/>
    <w:rsid w:val="001817F5"/>
    <w:rsid w:val="00181832"/>
    <w:rsid w:val="00181ABC"/>
    <w:rsid w:val="00181BFC"/>
    <w:rsid w:val="00181CD6"/>
    <w:rsid w:val="00181EB7"/>
    <w:rsid w:val="00181FFB"/>
    <w:rsid w:val="001820D3"/>
    <w:rsid w:val="001822A5"/>
    <w:rsid w:val="001824E7"/>
    <w:rsid w:val="001825B3"/>
    <w:rsid w:val="0018261D"/>
    <w:rsid w:val="00182761"/>
    <w:rsid w:val="001827FF"/>
    <w:rsid w:val="00182877"/>
    <w:rsid w:val="00182975"/>
    <w:rsid w:val="00182A1D"/>
    <w:rsid w:val="00182A8E"/>
    <w:rsid w:val="00182B2D"/>
    <w:rsid w:val="00182CB5"/>
    <w:rsid w:val="00182D32"/>
    <w:rsid w:val="00182F1D"/>
    <w:rsid w:val="00183034"/>
    <w:rsid w:val="0018305B"/>
    <w:rsid w:val="0018305C"/>
    <w:rsid w:val="001830FF"/>
    <w:rsid w:val="0018320E"/>
    <w:rsid w:val="00183221"/>
    <w:rsid w:val="001832A6"/>
    <w:rsid w:val="00183339"/>
    <w:rsid w:val="0018337B"/>
    <w:rsid w:val="001834E1"/>
    <w:rsid w:val="0018354D"/>
    <w:rsid w:val="00183621"/>
    <w:rsid w:val="00183655"/>
    <w:rsid w:val="00183700"/>
    <w:rsid w:val="0018379A"/>
    <w:rsid w:val="00183959"/>
    <w:rsid w:val="001839DA"/>
    <w:rsid w:val="00183B72"/>
    <w:rsid w:val="00183F46"/>
    <w:rsid w:val="00184011"/>
    <w:rsid w:val="00184043"/>
    <w:rsid w:val="0018415F"/>
    <w:rsid w:val="00184493"/>
    <w:rsid w:val="00184546"/>
    <w:rsid w:val="00184601"/>
    <w:rsid w:val="00184784"/>
    <w:rsid w:val="001848FB"/>
    <w:rsid w:val="00184A1A"/>
    <w:rsid w:val="00184BF1"/>
    <w:rsid w:val="00184D2A"/>
    <w:rsid w:val="00184DB0"/>
    <w:rsid w:val="00184E30"/>
    <w:rsid w:val="00184F76"/>
    <w:rsid w:val="00185199"/>
    <w:rsid w:val="00185229"/>
    <w:rsid w:val="00185243"/>
    <w:rsid w:val="00185359"/>
    <w:rsid w:val="001853A8"/>
    <w:rsid w:val="001853D3"/>
    <w:rsid w:val="0018542C"/>
    <w:rsid w:val="0018550D"/>
    <w:rsid w:val="00185A2B"/>
    <w:rsid w:val="00185BDF"/>
    <w:rsid w:val="00185C20"/>
    <w:rsid w:val="00185CD5"/>
    <w:rsid w:val="00185F24"/>
    <w:rsid w:val="00185FE1"/>
    <w:rsid w:val="0018619C"/>
    <w:rsid w:val="0018632E"/>
    <w:rsid w:val="00186399"/>
    <w:rsid w:val="001863A5"/>
    <w:rsid w:val="001863B1"/>
    <w:rsid w:val="0018645F"/>
    <w:rsid w:val="001864B9"/>
    <w:rsid w:val="00186608"/>
    <w:rsid w:val="001866D1"/>
    <w:rsid w:val="001867F7"/>
    <w:rsid w:val="00186AF8"/>
    <w:rsid w:val="00186B3D"/>
    <w:rsid w:val="00186BED"/>
    <w:rsid w:val="00186C16"/>
    <w:rsid w:val="00186C59"/>
    <w:rsid w:val="00186D31"/>
    <w:rsid w:val="00186DED"/>
    <w:rsid w:val="00186F9B"/>
    <w:rsid w:val="00187483"/>
    <w:rsid w:val="0018750B"/>
    <w:rsid w:val="00187658"/>
    <w:rsid w:val="00187681"/>
    <w:rsid w:val="00187856"/>
    <w:rsid w:val="00187A1F"/>
    <w:rsid w:val="00187C17"/>
    <w:rsid w:val="00187F59"/>
    <w:rsid w:val="001904D4"/>
    <w:rsid w:val="0019061B"/>
    <w:rsid w:val="00190800"/>
    <w:rsid w:val="00190A54"/>
    <w:rsid w:val="00190AC6"/>
    <w:rsid w:val="00190B23"/>
    <w:rsid w:val="00190B87"/>
    <w:rsid w:val="00190C72"/>
    <w:rsid w:val="00190CA7"/>
    <w:rsid w:val="00190D56"/>
    <w:rsid w:val="00190DDA"/>
    <w:rsid w:val="00190F33"/>
    <w:rsid w:val="00190F41"/>
    <w:rsid w:val="001910A8"/>
    <w:rsid w:val="001910DC"/>
    <w:rsid w:val="00191724"/>
    <w:rsid w:val="0019196C"/>
    <w:rsid w:val="001919CD"/>
    <w:rsid w:val="00191AE5"/>
    <w:rsid w:val="00191B3B"/>
    <w:rsid w:val="00191B5B"/>
    <w:rsid w:val="00191BC2"/>
    <w:rsid w:val="00191CCA"/>
    <w:rsid w:val="00191DBB"/>
    <w:rsid w:val="00191E87"/>
    <w:rsid w:val="00191F29"/>
    <w:rsid w:val="00191F81"/>
    <w:rsid w:val="00192021"/>
    <w:rsid w:val="00192071"/>
    <w:rsid w:val="00192155"/>
    <w:rsid w:val="001921FF"/>
    <w:rsid w:val="00192506"/>
    <w:rsid w:val="0019264D"/>
    <w:rsid w:val="001926DC"/>
    <w:rsid w:val="0019290E"/>
    <w:rsid w:val="00192995"/>
    <w:rsid w:val="001929CC"/>
    <w:rsid w:val="00192F2E"/>
    <w:rsid w:val="00193092"/>
    <w:rsid w:val="001931CA"/>
    <w:rsid w:val="00193545"/>
    <w:rsid w:val="0019354A"/>
    <w:rsid w:val="00193680"/>
    <w:rsid w:val="001936C6"/>
    <w:rsid w:val="00193B7C"/>
    <w:rsid w:val="00193CD3"/>
    <w:rsid w:val="00193DF8"/>
    <w:rsid w:val="00193E11"/>
    <w:rsid w:val="00193E4B"/>
    <w:rsid w:val="00193FE4"/>
    <w:rsid w:val="0019407B"/>
    <w:rsid w:val="001940D3"/>
    <w:rsid w:val="001941C4"/>
    <w:rsid w:val="0019422A"/>
    <w:rsid w:val="0019423B"/>
    <w:rsid w:val="00194352"/>
    <w:rsid w:val="00194359"/>
    <w:rsid w:val="00194367"/>
    <w:rsid w:val="0019442D"/>
    <w:rsid w:val="00194546"/>
    <w:rsid w:val="0019459D"/>
    <w:rsid w:val="0019483D"/>
    <w:rsid w:val="0019491E"/>
    <w:rsid w:val="00194950"/>
    <w:rsid w:val="00194A0A"/>
    <w:rsid w:val="00194C4E"/>
    <w:rsid w:val="00194EA8"/>
    <w:rsid w:val="00194F31"/>
    <w:rsid w:val="00194FED"/>
    <w:rsid w:val="0019512E"/>
    <w:rsid w:val="001951C2"/>
    <w:rsid w:val="00195228"/>
    <w:rsid w:val="00195372"/>
    <w:rsid w:val="001954EC"/>
    <w:rsid w:val="001956B9"/>
    <w:rsid w:val="00195A7E"/>
    <w:rsid w:val="00195CC3"/>
    <w:rsid w:val="00195D84"/>
    <w:rsid w:val="00195E45"/>
    <w:rsid w:val="00195E4A"/>
    <w:rsid w:val="00195EC3"/>
    <w:rsid w:val="00195EFF"/>
    <w:rsid w:val="00195F00"/>
    <w:rsid w:val="00195F45"/>
    <w:rsid w:val="00196094"/>
    <w:rsid w:val="00196240"/>
    <w:rsid w:val="00196248"/>
    <w:rsid w:val="0019627F"/>
    <w:rsid w:val="001964AA"/>
    <w:rsid w:val="0019651A"/>
    <w:rsid w:val="0019667B"/>
    <w:rsid w:val="00196694"/>
    <w:rsid w:val="001966BE"/>
    <w:rsid w:val="0019690A"/>
    <w:rsid w:val="00196AF1"/>
    <w:rsid w:val="00196B88"/>
    <w:rsid w:val="00196B95"/>
    <w:rsid w:val="00196E82"/>
    <w:rsid w:val="00196E8A"/>
    <w:rsid w:val="00196F13"/>
    <w:rsid w:val="00196FD8"/>
    <w:rsid w:val="00197061"/>
    <w:rsid w:val="001971FD"/>
    <w:rsid w:val="0019738B"/>
    <w:rsid w:val="001973C5"/>
    <w:rsid w:val="00197446"/>
    <w:rsid w:val="001974D6"/>
    <w:rsid w:val="001976C2"/>
    <w:rsid w:val="001977AA"/>
    <w:rsid w:val="001977FB"/>
    <w:rsid w:val="00197998"/>
    <w:rsid w:val="00197BF1"/>
    <w:rsid w:val="00197D03"/>
    <w:rsid w:val="00197D2B"/>
    <w:rsid w:val="00197D45"/>
    <w:rsid w:val="00197EC3"/>
    <w:rsid w:val="00197EED"/>
    <w:rsid w:val="00197F2C"/>
    <w:rsid w:val="001A0054"/>
    <w:rsid w:val="001A00B4"/>
    <w:rsid w:val="001A0215"/>
    <w:rsid w:val="001A0516"/>
    <w:rsid w:val="001A07A4"/>
    <w:rsid w:val="001A0A4F"/>
    <w:rsid w:val="001A0A9B"/>
    <w:rsid w:val="001A0B0B"/>
    <w:rsid w:val="001A0D48"/>
    <w:rsid w:val="001A0DFE"/>
    <w:rsid w:val="001A0E7E"/>
    <w:rsid w:val="001A0F41"/>
    <w:rsid w:val="001A1257"/>
    <w:rsid w:val="001A1753"/>
    <w:rsid w:val="001A1835"/>
    <w:rsid w:val="001A1865"/>
    <w:rsid w:val="001A18C4"/>
    <w:rsid w:val="001A1AF0"/>
    <w:rsid w:val="001A1B38"/>
    <w:rsid w:val="001A1B74"/>
    <w:rsid w:val="001A1BB0"/>
    <w:rsid w:val="001A1C26"/>
    <w:rsid w:val="001A1C88"/>
    <w:rsid w:val="001A20C3"/>
    <w:rsid w:val="001A221B"/>
    <w:rsid w:val="001A221D"/>
    <w:rsid w:val="001A234D"/>
    <w:rsid w:val="001A2398"/>
    <w:rsid w:val="001A2407"/>
    <w:rsid w:val="001A2549"/>
    <w:rsid w:val="001A2585"/>
    <w:rsid w:val="001A25B6"/>
    <w:rsid w:val="001A25CA"/>
    <w:rsid w:val="001A275A"/>
    <w:rsid w:val="001A278D"/>
    <w:rsid w:val="001A279E"/>
    <w:rsid w:val="001A27AE"/>
    <w:rsid w:val="001A28D8"/>
    <w:rsid w:val="001A2A02"/>
    <w:rsid w:val="001A2A75"/>
    <w:rsid w:val="001A2ACA"/>
    <w:rsid w:val="001A2C89"/>
    <w:rsid w:val="001A2C95"/>
    <w:rsid w:val="001A2D0A"/>
    <w:rsid w:val="001A2D6D"/>
    <w:rsid w:val="001A2EA8"/>
    <w:rsid w:val="001A2EAD"/>
    <w:rsid w:val="001A3074"/>
    <w:rsid w:val="001A309A"/>
    <w:rsid w:val="001A31A9"/>
    <w:rsid w:val="001A31B7"/>
    <w:rsid w:val="001A321E"/>
    <w:rsid w:val="001A334F"/>
    <w:rsid w:val="001A345B"/>
    <w:rsid w:val="001A3681"/>
    <w:rsid w:val="001A37A0"/>
    <w:rsid w:val="001A37DE"/>
    <w:rsid w:val="001A3880"/>
    <w:rsid w:val="001A3AC3"/>
    <w:rsid w:val="001A3B23"/>
    <w:rsid w:val="001A3E80"/>
    <w:rsid w:val="001A3ECC"/>
    <w:rsid w:val="001A3FAC"/>
    <w:rsid w:val="001A401E"/>
    <w:rsid w:val="001A4046"/>
    <w:rsid w:val="001A41CA"/>
    <w:rsid w:val="001A4322"/>
    <w:rsid w:val="001A4440"/>
    <w:rsid w:val="001A4475"/>
    <w:rsid w:val="001A44E4"/>
    <w:rsid w:val="001A4740"/>
    <w:rsid w:val="001A487D"/>
    <w:rsid w:val="001A4AB9"/>
    <w:rsid w:val="001A4D16"/>
    <w:rsid w:val="001A4EAE"/>
    <w:rsid w:val="001A52FA"/>
    <w:rsid w:val="001A5329"/>
    <w:rsid w:val="001A54D1"/>
    <w:rsid w:val="001A5516"/>
    <w:rsid w:val="001A5701"/>
    <w:rsid w:val="001A5746"/>
    <w:rsid w:val="001A5971"/>
    <w:rsid w:val="001A5A67"/>
    <w:rsid w:val="001A5C55"/>
    <w:rsid w:val="001A5CE5"/>
    <w:rsid w:val="001A5D50"/>
    <w:rsid w:val="001A5F74"/>
    <w:rsid w:val="001A600A"/>
    <w:rsid w:val="001A630C"/>
    <w:rsid w:val="001A63A4"/>
    <w:rsid w:val="001A6405"/>
    <w:rsid w:val="001A6446"/>
    <w:rsid w:val="001A648E"/>
    <w:rsid w:val="001A6493"/>
    <w:rsid w:val="001A6550"/>
    <w:rsid w:val="001A679C"/>
    <w:rsid w:val="001A6863"/>
    <w:rsid w:val="001A6A43"/>
    <w:rsid w:val="001A6AC2"/>
    <w:rsid w:val="001A6B29"/>
    <w:rsid w:val="001A6D0C"/>
    <w:rsid w:val="001A6D4E"/>
    <w:rsid w:val="001A6E1E"/>
    <w:rsid w:val="001A6F33"/>
    <w:rsid w:val="001A7076"/>
    <w:rsid w:val="001A71BB"/>
    <w:rsid w:val="001A7255"/>
    <w:rsid w:val="001A77BE"/>
    <w:rsid w:val="001A7A6C"/>
    <w:rsid w:val="001A7A73"/>
    <w:rsid w:val="001A7D06"/>
    <w:rsid w:val="001A7D73"/>
    <w:rsid w:val="001A7D74"/>
    <w:rsid w:val="001A7F97"/>
    <w:rsid w:val="001A7FE6"/>
    <w:rsid w:val="001B005B"/>
    <w:rsid w:val="001B02E9"/>
    <w:rsid w:val="001B03A3"/>
    <w:rsid w:val="001B03CC"/>
    <w:rsid w:val="001B03EF"/>
    <w:rsid w:val="001B040A"/>
    <w:rsid w:val="001B0435"/>
    <w:rsid w:val="001B0490"/>
    <w:rsid w:val="001B0563"/>
    <w:rsid w:val="001B0640"/>
    <w:rsid w:val="001B0766"/>
    <w:rsid w:val="001B07D4"/>
    <w:rsid w:val="001B07DB"/>
    <w:rsid w:val="001B08C0"/>
    <w:rsid w:val="001B0908"/>
    <w:rsid w:val="001B0940"/>
    <w:rsid w:val="001B0A28"/>
    <w:rsid w:val="001B0A80"/>
    <w:rsid w:val="001B0A9B"/>
    <w:rsid w:val="001B0B4A"/>
    <w:rsid w:val="001B0E07"/>
    <w:rsid w:val="001B0EE7"/>
    <w:rsid w:val="001B10A7"/>
    <w:rsid w:val="001B1156"/>
    <w:rsid w:val="001B116E"/>
    <w:rsid w:val="001B1202"/>
    <w:rsid w:val="001B1272"/>
    <w:rsid w:val="001B12EA"/>
    <w:rsid w:val="001B143B"/>
    <w:rsid w:val="001B146F"/>
    <w:rsid w:val="001B155E"/>
    <w:rsid w:val="001B197B"/>
    <w:rsid w:val="001B1A29"/>
    <w:rsid w:val="001B1A6F"/>
    <w:rsid w:val="001B1C46"/>
    <w:rsid w:val="001B1CBB"/>
    <w:rsid w:val="001B1EDC"/>
    <w:rsid w:val="001B1F78"/>
    <w:rsid w:val="001B2279"/>
    <w:rsid w:val="001B23FA"/>
    <w:rsid w:val="001B2592"/>
    <w:rsid w:val="001B25DF"/>
    <w:rsid w:val="001B28F0"/>
    <w:rsid w:val="001B2912"/>
    <w:rsid w:val="001B2974"/>
    <w:rsid w:val="001B2ADA"/>
    <w:rsid w:val="001B2AF6"/>
    <w:rsid w:val="001B2D65"/>
    <w:rsid w:val="001B2E6A"/>
    <w:rsid w:val="001B3240"/>
    <w:rsid w:val="001B33CB"/>
    <w:rsid w:val="001B36E7"/>
    <w:rsid w:val="001B3713"/>
    <w:rsid w:val="001B387E"/>
    <w:rsid w:val="001B39AE"/>
    <w:rsid w:val="001B3A87"/>
    <w:rsid w:val="001B3ADE"/>
    <w:rsid w:val="001B3B40"/>
    <w:rsid w:val="001B3BA6"/>
    <w:rsid w:val="001B3BE5"/>
    <w:rsid w:val="001B3CB4"/>
    <w:rsid w:val="001B3DAF"/>
    <w:rsid w:val="001B3DE7"/>
    <w:rsid w:val="001B3EAE"/>
    <w:rsid w:val="001B3FF9"/>
    <w:rsid w:val="001B4049"/>
    <w:rsid w:val="001B40C3"/>
    <w:rsid w:val="001B4192"/>
    <w:rsid w:val="001B4246"/>
    <w:rsid w:val="001B42C4"/>
    <w:rsid w:val="001B439D"/>
    <w:rsid w:val="001B45D7"/>
    <w:rsid w:val="001B4664"/>
    <w:rsid w:val="001B46EF"/>
    <w:rsid w:val="001B4799"/>
    <w:rsid w:val="001B47FD"/>
    <w:rsid w:val="001B4809"/>
    <w:rsid w:val="001B4831"/>
    <w:rsid w:val="001B48B0"/>
    <w:rsid w:val="001B48DD"/>
    <w:rsid w:val="001B496B"/>
    <w:rsid w:val="001B4A44"/>
    <w:rsid w:val="001B4BBE"/>
    <w:rsid w:val="001B4FDF"/>
    <w:rsid w:val="001B50BC"/>
    <w:rsid w:val="001B5164"/>
    <w:rsid w:val="001B51D8"/>
    <w:rsid w:val="001B5446"/>
    <w:rsid w:val="001B549B"/>
    <w:rsid w:val="001B55FE"/>
    <w:rsid w:val="001B5619"/>
    <w:rsid w:val="001B5680"/>
    <w:rsid w:val="001B5820"/>
    <w:rsid w:val="001B59F0"/>
    <w:rsid w:val="001B5AA4"/>
    <w:rsid w:val="001B5CDD"/>
    <w:rsid w:val="001B5D0A"/>
    <w:rsid w:val="001B5D10"/>
    <w:rsid w:val="001B5D24"/>
    <w:rsid w:val="001B5EB1"/>
    <w:rsid w:val="001B5F84"/>
    <w:rsid w:val="001B608C"/>
    <w:rsid w:val="001B619D"/>
    <w:rsid w:val="001B639B"/>
    <w:rsid w:val="001B6461"/>
    <w:rsid w:val="001B6484"/>
    <w:rsid w:val="001B6520"/>
    <w:rsid w:val="001B6609"/>
    <w:rsid w:val="001B6B6B"/>
    <w:rsid w:val="001B71B7"/>
    <w:rsid w:val="001B731D"/>
    <w:rsid w:val="001B7340"/>
    <w:rsid w:val="001B7364"/>
    <w:rsid w:val="001B73F4"/>
    <w:rsid w:val="001B744A"/>
    <w:rsid w:val="001B75B3"/>
    <w:rsid w:val="001B767D"/>
    <w:rsid w:val="001B77EA"/>
    <w:rsid w:val="001B7938"/>
    <w:rsid w:val="001B7B71"/>
    <w:rsid w:val="001B7C4F"/>
    <w:rsid w:val="001B7C70"/>
    <w:rsid w:val="001B7CC3"/>
    <w:rsid w:val="001B7D73"/>
    <w:rsid w:val="001B7DA1"/>
    <w:rsid w:val="001B7EF2"/>
    <w:rsid w:val="001B7F74"/>
    <w:rsid w:val="001C008C"/>
    <w:rsid w:val="001C01CA"/>
    <w:rsid w:val="001C0212"/>
    <w:rsid w:val="001C0301"/>
    <w:rsid w:val="001C04E9"/>
    <w:rsid w:val="001C08BF"/>
    <w:rsid w:val="001C0A56"/>
    <w:rsid w:val="001C0A6A"/>
    <w:rsid w:val="001C0D3E"/>
    <w:rsid w:val="001C0F17"/>
    <w:rsid w:val="001C0FE4"/>
    <w:rsid w:val="001C0FFE"/>
    <w:rsid w:val="001C111F"/>
    <w:rsid w:val="001C11CC"/>
    <w:rsid w:val="001C1417"/>
    <w:rsid w:val="001C141D"/>
    <w:rsid w:val="001C142B"/>
    <w:rsid w:val="001C15CE"/>
    <w:rsid w:val="001C15F3"/>
    <w:rsid w:val="001C1619"/>
    <w:rsid w:val="001C1718"/>
    <w:rsid w:val="001C1799"/>
    <w:rsid w:val="001C179A"/>
    <w:rsid w:val="001C1ADE"/>
    <w:rsid w:val="001C1D50"/>
    <w:rsid w:val="001C20E0"/>
    <w:rsid w:val="001C2101"/>
    <w:rsid w:val="001C22F7"/>
    <w:rsid w:val="001C2317"/>
    <w:rsid w:val="001C2318"/>
    <w:rsid w:val="001C2337"/>
    <w:rsid w:val="001C2380"/>
    <w:rsid w:val="001C2696"/>
    <w:rsid w:val="001C27EC"/>
    <w:rsid w:val="001C28E0"/>
    <w:rsid w:val="001C2AB7"/>
    <w:rsid w:val="001C2C32"/>
    <w:rsid w:val="001C2C63"/>
    <w:rsid w:val="001C2D14"/>
    <w:rsid w:val="001C2ECD"/>
    <w:rsid w:val="001C2EE1"/>
    <w:rsid w:val="001C2F2B"/>
    <w:rsid w:val="001C2FF0"/>
    <w:rsid w:val="001C3044"/>
    <w:rsid w:val="001C3074"/>
    <w:rsid w:val="001C308F"/>
    <w:rsid w:val="001C320F"/>
    <w:rsid w:val="001C32BE"/>
    <w:rsid w:val="001C33A9"/>
    <w:rsid w:val="001C343E"/>
    <w:rsid w:val="001C34A5"/>
    <w:rsid w:val="001C3540"/>
    <w:rsid w:val="001C3657"/>
    <w:rsid w:val="001C3864"/>
    <w:rsid w:val="001C3891"/>
    <w:rsid w:val="001C3D35"/>
    <w:rsid w:val="001C3F5C"/>
    <w:rsid w:val="001C3F7E"/>
    <w:rsid w:val="001C3FB9"/>
    <w:rsid w:val="001C40B1"/>
    <w:rsid w:val="001C40CD"/>
    <w:rsid w:val="001C43B5"/>
    <w:rsid w:val="001C44BA"/>
    <w:rsid w:val="001C4519"/>
    <w:rsid w:val="001C46F3"/>
    <w:rsid w:val="001C4816"/>
    <w:rsid w:val="001C4884"/>
    <w:rsid w:val="001C48CD"/>
    <w:rsid w:val="001C49BF"/>
    <w:rsid w:val="001C4A38"/>
    <w:rsid w:val="001C4A9F"/>
    <w:rsid w:val="001C4DA9"/>
    <w:rsid w:val="001C4E70"/>
    <w:rsid w:val="001C505A"/>
    <w:rsid w:val="001C5162"/>
    <w:rsid w:val="001C52FE"/>
    <w:rsid w:val="001C53DB"/>
    <w:rsid w:val="001C544D"/>
    <w:rsid w:val="001C54F5"/>
    <w:rsid w:val="001C579F"/>
    <w:rsid w:val="001C585C"/>
    <w:rsid w:val="001C587B"/>
    <w:rsid w:val="001C58D3"/>
    <w:rsid w:val="001C5955"/>
    <w:rsid w:val="001C5974"/>
    <w:rsid w:val="001C5980"/>
    <w:rsid w:val="001C5A14"/>
    <w:rsid w:val="001C5B68"/>
    <w:rsid w:val="001C5CC8"/>
    <w:rsid w:val="001C5F10"/>
    <w:rsid w:val="001C631A"/>
    <w:rsid w:val="001C6370"/>
    <w:rsid w:val="001C63CF"/>
    <w:rsid w:val="001C6439"/>
    <w:rsid w:val="001C648A"/>
    <w:rsid w:val="001C65F1"/>
    <w:rsid w:val="001C665A"/>
    <w:rsid w:val="001C67E0"/>
    <w:rsid w:val="001C6829"/>
    <w:rsid w:val="001C6872"/>
    <w:rsid w:val="001C68E1"/>
    <w:rsid w:val="001C6C03"/>
    <w:rsid w:val="001C6E58"/>
    <w:rsid w:val="001C6EFD"/>
    <w:rsid w:val="001C6F2A"/>
    <w:rsid w:val="001C7039"/>
    <w:rsid w:val="001C735D"/>
    <w:rsid w:val="001C7767"/>
    <w:rsid w:val="001C791B"/>
    <w:rsid w:val="001C7D00"/>
    <w:rsid w:val="001C7D51"/>
    <w:rsid w:val="001C7D86"/>
    <w:rsid w:val="001D0035"/>
    <w:rsid w:val="001D015F"/>
    <w:rsid w:val="001D01E8"/>
    <w:rsid w:val="001D048E"/>
    <w:rsid w:val="001D04BB"/>
    <w:rsid w:val="001D082A"/>
    <w:rsid w:val="001D0887"/>
    <w:rsid w:val="001D09AF"/>
    <w:rsid w:val="001D0A5D"/>
    <w:rsid w:val="001D0BA7"/>
    <w:rsid w:val="001D0C18"/>
    <w:rsid w:val="001D0CBF"/>
    <w:rsid w:val="001D0E34"/>
    <w:rsid w:val="001D0E3C"/>
    <w:rsid w:val="001D0FBE"/>
    <w:rsid w:val="001D1108"/>
    <w:rsid w:val="001D13DD"/>
    <w:rsid w:val="001D143C"/>
    <w:rsid w:val="001D1661"/>
    <w:rsid w:val="001D1700"/>
    <w:rsid w:val="001D1725"/>
    <w:rsid w:val="001D17FC"/>
    <w:rsid w:val="001D1861"/>
    <w:rsid w:val="001D192B"/>
    <w:rsid w:val="001D1BBA"/>
    <w:rsid w:val="001D1CF1"/>
    <w:rsid w:val="001D1F52"/>
    <w:rsid w:val="001D1FBC"/>
    <w:rsid w:val="001D1FF8"/>
    <w:rsid w:val="001D22F6"/>
    <w:rsid w:val="001D2321"/>
    <w:rsid w:val="001D25F4"/>
    <w:rsid w:val="001D269F"/>
    <w:rsid w:val="001D26DF"/>
    <w:rsid w:val="001D270D"/>
    <w:rsid w:val="001D27B2"/>
    <w:rsid w:val="001D283F"/>
    <w:rsid w:val="001D285A"/>
    <w:rsid w:val="001D2886"/>
    <w:rsid w:val="001D2915"/>
    <w:rsid w:val="001D2ADD"/>
    <w:rsid w:val="001D2C2C"/>
    <w:rsid w:val="001D2C63"/>
    <w:rsid w:val="001D2CC4"/>
    <w:rsid w:val="001D2D0B"/>
    <w:rsid w:val="001D2E22"/>
    <w:rsid w:val="001D2ED0"/>
    <w:rsid w:val="001D30BF"/>
    <w:rsid w:val="001D3528"/>
    <w:rsid w:val="001D354C"/>
    <w:rsid w:val="001D35A7"/>
    <w:rsid w:val="001D362A"/>
    <w:rsid w:val="001D374A"/>
    <w:rsid w:val="001D3791"/>
    <w:rsid w:val="001D3897"/>
    <w:rsid w:val="001D3942"/>
    <w:rsid w:val="001D3B6E"/>
    <w:rsid w:val="001D3B75"/>
    <w:rsid w:val="001D3B9F"/>
    <w:rsid w:val="001D3E0D"/>
    <w:rsid w:val="001D4035"/>
    <w:rsid w:val="001D4096"/>
    <w:rsid w:val="001D435A"/>
    <w:rsid w:val="001D444C"/>
    <w:rsid w:val="001D44B1"/>
    <w:rsid w:val="001D44E7"/>
    <w:rsid w:val="001D4542"/>
    <w:rsid w:val="001D4672"/>
    <w:rsid w:val="001D479C"/>
    <w:rsid w:val="001D48A2"/>
    <w:rsid w:val="001D48F6"/>
    <w:rsid w:val="001D4949"/>
    <w:rsid w:val="001D4B1E"/>
    <w:rsid w:val="001D4C05"/>
    <w:rsid w:val="001D4C97"/>
    <w:rsid w:val="001D501D"/>
    <w:rsid w:val="001D50F9"/>
    <w:rsid w:val="001D5128"/>
    <w:rsid w:val="001D5305"/>
    <w:rsid w:val="001D5326"/>
    <w:rsid w:val="001D53F3"/>
    <w:rsid w:val="001D546D"/>
    <w:rsid w:val="001D551F"/>
    <w:rsid w:val="001D5558"/>
    <w:rsid w:val="001D5643"/>
    <w:rsid w:val="001D56BD"/>
    <w:rsid w:val="001D572C"/>
    <w:rsid w:val="001D58B8"/>
    <w:rsid w:val="001D599F"/>
    <w:rsid w:val="001D5AF4"/>
    <w:rsid w:val="001D5B8F"/>
    <w:rsid w:val="001D5CCC"/>
    <w:rsid w:val="001D5DDE"/>
    <w:rsid w:val="001D5F08"/>
    <w:rsid w:val="001D612B"/>
    <w:rsid w:val="001D64ED"/>
    <w:rsid w:val="001D662B"/>
    <w:rsid w:val="001D66C5"/>
    <w:rsid w:val="001D671A"/>
    <w:rsid w:val="001D6727"/>
    <w:rsid w:val="001D6755"/>
    <w:rsid w:val="001D6868"/>
    <w:rsid w:val="001D6896"/>
    <w:rsid w:val="001D6A72"/>
    <w:rsid w:val="001D6B8B"/>
    <w:rsid w:val="001D6BE6"/>
    <w:rsid w:val="001D6C18"/>
    <w:rsid w:val="001D6C7B"/>
    <w:rsid w:val="001D6CDF"/>
    <w:rsid w:val="001D6EC6"/>
    <w:rsid w:val="001D704C"/>
    <w:rsid w:val="001D731A"/>
    <w:rsid w:val="001D73A5"/>
    <w:rsid w:val="001D7408"/>
    <w:rsid w:val="001D7448"/>
    <w:rsid w:val="001D7467"/>
    <w:rsid w:val="001D7468"/>
    <w:rsid w:val="001D74EF"/>
    <w:rsid w:val="001D75A1"/>
    <w:rsid w:val="001D75BE"/>
    <w:rsid w:val="001D771F"/>
    <w:rsid w:val="001D77A9"/>
    <w:rsid w:val="001D7897"/>
    <w:rsid w:val="001D7A74"/>
    <w:rsid w:val="001D7B5E"/>
    <w:rsid w:val="001D7E4E"/>
    <w:rsid w:val="001D7EF3"/>
    <w:rsid w:val="001E00AB"/>
    <w:rsid w:val="001E01F4"/>
    <w:rsid w:val="001E02E9"/>
    <w:rsid w:val="001E0539"/>
    <w:rsid w:val="001E05CC"/>
    <w:rsid w:val="001E05E4"/>
    <w:rsid w:val="001E0792"/>
    <w:rsid w:val="001E07B4"/>
    <w:rsid w:val="001E0A95"/>
    <w:rsid w:val="001E0AA9"/>
    <w:rsid w:val="001E0B1A"/>
    <w:rsid w:val="001E0F0D"/>
    <w:rsid w:val="001E0F38"/>
    <w:rsid w:val="001E10E8"/>
    <w:rsid w:val="001E120A"/>
    <w:rsid w:val="001E121D"/>
    <w:rsid w:val="001E134B"/>
    <w:rsid w:val="001E13E0"/>
    <w:rsid w:val="001E148F"/>
    <w:rsid w:val="001E15AD"/>
    <w:rsid w:val="001E171F"/>
    <w:rsid w:val="001E1941"/>
    <w:rsid w:val="001E19BF"/>
    <w:rsid w:val="001E1CB4"/>
    <w:rsid w:val="001E1CFD"/>
    <w:rsid w:val="001E1E76"/>
    <w:rsid w:val="001E2035"/>
    <w:rsid w:val="001E2297"/>
    <w:rsid w:val="001E2524"/>
    <w:rsid w:val="001E25DA"/>
    <w:rsid w:val="001E2753"/>
    <w:rsid w:val="001E28E6"/>
    <w:rsid w:val="001E2922"/>
    <w:rsid w:val="001E2987"/>
    <w:rsid w:val="001E2C81"/>
    <w:rsid w:val="001E2E82"/>
    <w:rsid w:val="001E2FC7"/>
    <w:rsid w:val="001E30AC"/>
    <w:rsid w:val="001E31B8"/>
    <w:rsid w:val="001E31F4"/>
    <w:rsid w:val="001E33E6"/>
    <w:rsid w:val="001E33FA"/>
    <w:rsid w:val="001E357D"/>
    <w:rsid w:val="001E36A2"/>
    <w:rsid w:val="001E378D"/>
    <w:rsid w:val="001E38DA"/>
    <w:rsid w:val="001E39D8"/>
    <w:rsid w:val="001E39E6"/>
    <w:rsid w:val="001E3B8C"/>
    <w:rsid w:val="001E3BE8"/>
    <w:rsid w:val="001E40A9"/>
    <w:rsid w:val="001E4534"/>
    <w:rsid w:val="001E45D7"/>
    <w:rsid w:val="001E465E"/>
    <w:rsid w:val="001E46AE"/>
    <w:rsid w:val="001E48FE"/>
    <w:rsid w:val="001E492E"/>
    <w:rsid w:val="001E4957"/>
    <w:rsid w:val="001E4A52"/>
    <w:rsid w:val="001E4A53"/>
    <w:rsid w:val="001E4B20"/>
    <w:rsid w:val="001E4C00"/>
    <w:rsid w:val="001E4C6D"/>
    <w:rsid w:val="001E4EFB"/>
    <w:rsid w:val="001E51D8"/>
    <w:rsid w:val="001E53C3"/>
    <w:rsid w:val="001E5506"/>
    <w:rsid w:val="001E5524"/>
    <w:rsid w:val="001E5526"/>
    <w:rsid w:val="001E561B"/>
    <w:rsid w:val="001E574D"/>
    <w:rsid w:val="001E582E"/>
    <w:rsid w:val="001E5923"/>
    <w:rsid w:val="001E5975"/>
    <w:rsid w:val="001E59C5"/>
    <w:rsid w:val="001E59EE"/>
    <w:rsid w:val="001E5A14"/>
    <w:rsid w:val="001E5A1E"/>
    <w:rsid w:val="001E5AE8"/>
    <w:rsid w:val="001E5B33"/>
    <w:rsid w:val="001E5D8F"/>
    <w:rsid w:val="001E5E47"/>
    <w:rsid w:val="001E601C"/>
    <w:rsid w:val="001E60CF"/>
    <w:rsid w:val="001E6128"/>
    <w:rsid w:val="001E6424"/>
    <w:rsid w:val="001E6464"/>
    <w:rsid w:val="001E6477"/>
    <w:rsid w:val="001E6503"/>
    <w:rsid w:val="001E67AD"/>
    <w:rsid w:val="001E69C6"/>
    <w:rsid w:val="001E6ADF"/>
    <w:rsid w:val="001E6BA1"/>
    <w:rsid w:val="001E6CA4"/>
    <w:rsid w:val="001E6CC0"/>
    <w:rsid w:val="001E6D36"/>
    <w:rsid w:val="001E6E9D"/>
    <w:rsid w:val="001E7086"/>
    <w:rsid w:val="001E70F7"/>
    <w:rsid w:val="001E71DD"/>
    <w:rsid w:val="001E71F9"/>
    <w:rsid w:val="001E7242"/>
    <w:rsid w:val="001E7392"/>
    <w:rsid w:val="001E7488"/>
    <w:rsid w:val="001E7726"/>
    <w:rsid w:val="001E7835"/>
    <w:rsid w:val="001E7B94"/>
    <w:rsid w:val="001E7D45"/>
    <w:rsid w:val="001E7F40"/>
    <w:rsid w:val="001F02FC"/>
    <w:rsid w:val="001F05CC"/>
    <w:rsid w:val="001F0709"/>
    <w:rsid w:val="001F082E"/>
    <w:rsid w:val="001F0846"/>
    <w:rsid w:val="001F088E"/>
    <w:rsid w:val="001F091A"/>
    <w:rsid w:val="001F097D"/>
    <w:rsid w:val="001F0A96"/>
    <w:rsid w:val="001F0D51"/>
    <w:rsid w:val="001F0ECF"/>
    <w:rsid w:val="001F0ED8"/>
    <w:rsid w:val="001F0F85"/>
    <w:rsid w:val="001F1072"/>
    <w:rsid w:val="001F10A5"/>
    <w:rsid w:val="001F11B9"/>
    <w:rsid w:val="001F138B"/>
    <w:rsid w:val="001F13FC"/>
    <w:rsid w:val="001F143A"/>
    <w:rsid w:val="001F1AA5"/>
    <w:rsid w:val="001F1B11"/>
    <w:rsid w:val="001F1D74"/>
    <w:rsid w:val="001F1ECB"/>
    <w:rsid w:val="001F1EE0"/>
    <w:rsid w:val="001F1F11"/>
    <w:rsid w:val="001F228E"/>
    <w:rsid w:val="001F279A"/>
    <w:rsid w:val="001F27E5"/>
    <w:rsid w:val="001F2984"/>
    <w:rsid w:val="001F298E"/>
    <w:rsid w:val="001F2A51"/>
    <w:rsid w:val="001F2A72"/>
    <w:rsid w:val="001F2AD6"/>
    <w:rsid w:val="001F2B45"/>
    <w:rsid w:val="001F30CB"/>
    <w:rsid w:val="001F31B3"/>
    <w:rsid w:val="001F31DF"/>
    <w:rsid w:val="001F328A"/>
    <w:rsid w:val="001F342A"/>
    <w:rsid w:val="001F3589"/>
    <w:rsid w:val="001F368C"/>
    <w:rsid w:val="001F37D2"/>
    <w:rsid w:val="001F3805"/>
    <w:rsid w:val="001F38A0"/>
    <w:rsid w:val="001F39DF"/>
    <w:rsid w:val="001F3AE3"/>
    <w:rsid w:val="001F3B10"/>
    <w:rsid w:val="001F3E13"/>
    <w:rsid w:val="001F3E6C"/>
    <w:rsid w:val="001F3FAE"/>
    <w:rsid w:val="001F4236"/>
    <w:rsid w:val="001F430B"/>
    <w:rsid w:val="001F46B5"/>
    <w:rsid w:val="001F4982"/>
    <w:rsid w:val="001F4A6C"/>
    <w:rsid w:val="001F4AC2"/>
    <w:rsid w:val="001F4BFF"/>
    <w:rsid w:val="001F4C7D"/>
    <w:rsid w:val="001F4D0A"/>
    <w:rsid w:val="001F4E12"/>
    <w:rsid w:val="001F4E29"/>
    <w:rsid w:val="001F4EE9"/>
    <w:rsid w:val="001F4F17"/>
    <w:rsid w:val="001F4FA3"/>
    <w:rsid w:val="001F4FFA"/>
    <w:rsid w:val="001F504A"/>
    <w:rsid w:val="001F51F0"/>
    <w:rsid w:val="001F533C"/>
    <w:rsid w:val="001F5396"/>
    <w:rsid w:val="001F5582"/>
    <w:rsid w:val="001F55CA"/>
    <w:rsid w:val="001F568E"/>
    <w:rsid w:val="001F5797"/>
    <w:rsid w:val="001F5830"/>
    <w:rsid w:val="001F5891"/>
    <w:rsid w:val="001F59E4"/>
    <w:rsid w:val="001F5ABC"/>
    <w:rsid w:val="001F5BA0"/>
    <w:rsid w:val="001F5C1B"/>
    <w:rsid w:val="001F5DC1"/>
    <w:rsid w:val="001F5E64"/>
    <w:rsid w:val="001F5E8D"/>
    <w:rsid w:val="001F60A5"/>
    <w:rsid w:val="001F60C1"/>
    <w:rsid w:val="001F61B9"/>
    <w:rsid w:val="001F624E"/>
    <w:rsid w:val="001F6499"/>
    <w:rsid w:val="001F64DD"/>
    <w:rsid w:val="001F65D8"/>
    <w:rsid w:val="001F65FA"/>
    <w:rsid w:val="001F66F1"/>
    <w:rsid w:val="001F6899"/>
    <w:rsid w:val="001F68AE"/>
    <w:rsid w:val="001F6A33"/>
    <w:rsid w:val="001F6AA9"/>
    <w:rsid w:val="001F6AAD"/>
    <w:rsid w:val="001F6BF1"/>
    <w:rsid w:val="001F6CA8"/>
    <w:rsid w:val="001F6E58"/>
    <w:rsid w:val="001F6EEA"/>
    <w:rsid w:val="001F7009"/>
    <w:rsid w:val="001F70AE"/>
    <w:rsid w:val="001F70BE"/>
    <w:rsid w:val="001F70FF"/>
    <w:rsid w:val="001F75F5"/>
    <w:rsid w:val="001F75FE"/>
    <w:rsid w:val="001F7734"/>
    <w:rsid w:val="001F7899"/>
    <w:rsid w:val="001F7C73"/>
    <w:rsid w:val="001F7DA9"/>
    <w:rsid w:val="001F7E34"/>
    <w:rsid w:val="001F7E68"/>
    <w:rsid w:val="001F7F1D"/>
    <w:rsid w:val="00200144"/>
    <w:rsid w:val="0020017F"/>
    <w:rsid w:val="00200268"/>
    <w:rsid w:val="00200353"/>
    <w:rsid w:val="00200368"/>
    <w:rsid w:val="002004BC"/>
    <w:rsid w:val="00200602"/>
    <w:rsid w:val="00200659"/>
    <w:rsid w:val="002006A0"/>
    <w:rsid w:val="002007BD"/>
    <w:rsid w:val="00200947"/>
    <w:rsid w:val="002009A5"/>
    <w:rsid w:val="00200AC8"/>
    <w:rsid w:val="00200C3C"/>
    <w:rsid w:val="00200D55"/>
    <w:rsid w:val="00200F48"/>
    <w:rsid w:val="00200FB5"/>
    <w:rsid w:val="00200FDE"/>
    <w:rsid w:val="00201148"/>
    <w:rsid w:val="0020135F"/>
    <w:rsid w:val="002013FD"/>
    <w:rsid w:val="00201638"/>
    <w:rsid w:val="0020179D"/>
    <w:rsid w:val="002018A9"/>
    <w:rsid w:val="0020194D"/>
    <w:rsid w:val="002019AC"/>
    <w:rsid w:val="00201A30"/>
    <w:rsid w:val="00201E58"/>
    <w:rsid w:val="00201E59"/>
    <w:rsid w:val="00201E97"/>
    <w:rsid w:val="00201EB6"/>
    <w:rsid w:val="00201FB1"/>
    <w:rsid w:val="0020204A"/>
    <w:rsid w:val="0020209F"/>
    <w:rsid w:val="002021E4"/>
    <w:rsid w:val="00202294"/>
    <w:rsid w:val="0020249E"/>
    <w:rsid w:val="0020257F"/>
    <w:rsid w:val="0020259E"/>
    <w:rsid w:val="002025B6"/>
    <w:rsid w:val="0020260F"/>
    <w:rsid w:val="0020271D"/>
    <w:rsid w:val="00202836"/>
    <w:rsid w:val="00202976"/>
    <w:rsid w:val="002029A2"/>
    <w:rsid w:val="00202A56"/>
    <w:rsid w:val="00202AFA"/>
    <w:rsid w:val="00202B69"/>
    <w:rsid w:val="00202F22"/>
    <w:rsid w:val="002030F6"/>
    <w:rsid w:val="00203240"/>
    <w:rsid w:val="00203311"/>
    <w:rsid w:val="0020336F"/>
    <w:rsid w:val="00203495"/>
    <w:rsid w:val="00203589"/>
    <w:rsid w:val="0020368A"/>
    <w:rsid w:val="0020377A"/>
    <w:rsid w:val="0020381A"/>
    <w:rsid w:val="00203A84"/>
    <w:rsid w:val="00203BA7"/>
    <w:rsid w:val="00203BB4"/>
    <w:rsid w:val="00203CB0"/>
    <w:rsid w:val="00203CC0"/>
    <w:rsid w:val="00203CF3"/>
    <w:rsid w:val="00203D63"/>
    <w:rsid w:val="00203E0C"/>
    <w:rsid w:val="00203FB3"/>
    <w:rsid w:val="00203FFC"/>
    <w:rsid w:val="00204223"/>
    <w:rsid w:val="0020430F"/>
    <w:rsid w:val="00204362"/>
    <w:rsid w:val="00204512"/>
    <w:rsid w:val="002045E1"/>
    <w:rsid w:val="002045EE"/>
    <w:rsid w:val="00204716"/>
    <w:rsid w:val="00204804"/>
    <w:rsid w:val="00204880"/>
    <w:rsid w:val="002048FE"/>
    <w:rsid w:val="0020496B"/>
    <w:rsid w:val="00204B12"/>
    <w:rsid w:val="00204BC2"/>
    <w:rsid w:val="00204C7B"/>
    <w:rsid w:val="00204CE7"/>
    <w:rsid w:val="00204EBD"/>
    <w:rsid w:val="00205354"/>
    <w:rsid w:val="002053D1"/>
    <w:rsid w:val="002055C4"/>
    <w:rsid w:val="00205769"/>
    <w:rsid w:val="00205871"/>
    <w:rsid w:val="002058A5"/>
    <w:rsid w:val="00205933"/>
    <w:rsid w:val="00205AA5"/>
    <w:rsid w:val="002062CB"/>
    <w:rsid w:val="002064BD"/>
    <w:rsid w:val="00206571"/>
    <w:rsid w:val="00206574"/>
    <w:rsid w:val="002065C2"/>
    <w:rsid w:val="002067D0"/>
    <w:rsid w:val="0020683B"/>
    <w:rsid w:val="00206936"/>
    <w:rsid w:val="0020698A"/>
    <w:rsid w:val="00206B44"/>
    <w:rsid w:val="00206BD6"/>
    <w:rsid w:val="00206D0D"/>
    <w:rsid w:val="00206D6E"/>
    <w:rsid w:val="00206E59"/>
    <w:rsid w:val="0020704C"/>
    <w:rsid w:val="0020712C"/>
    <w:rsid w:val="002071CE"/>
    <w:rsid w:val="00207316"/>
    <w:rsid w:val="00207396"/>
    <w:rsid w:val="0020744D"/>
    <w:rsid w:val="002074FE"/>
    <w:rsid w:val="002076C7"/>
    <w:rsid w:val="00207737"/>
    <w:rsid w:val="00207842"/>
    <w:rsid w:val="002078A9"/>
    <w:rsid w:val="00207925"/>
    <w:rsid w:val="002079A8"/>
    <w:rsid w:val="002079D7"/>
    <w:rsid w:val="00207B2A"/>
    <w:rsid w:val="00207C16"/>
    <w:rsid w:val="00207CD5"/>
    <w:rsid w:val="00207D8A"/>
    <w:rsid w:val="00207D8D"/>
    <w:rsid w:val="00207E3D"/>
    <w:rsid w:val="00207F05"/>
    <w:rsid w:val="00207F62"/>
    <w:rsid w:val="00210162"/>
    <w:rsid w:val="002101BD"/>
    <w:rsid w:val="002102B5"/>
    <w:rsid w:val="002102D5"/>
    <w:rsid w:val="002104BC"/>
    <w:rsid w:val="00210642"/>
    <w:rsid w:val="0021069A"/>
    <w:rsid w:val="00210745"/>
    <w:rsid w:val="002109A9"/>
    <w:rsid w:val="00210A8D"/>
    <w:rsid w:val="00210A9E"/>
    <w:rsid w:val="00210AF2"/>
    <w:rsid w:val="00210BC9"/>
    <w:rsid w:val="00210BDB"/>
    <w:rsid w:val="00210C1D"/>
    <w:rsid w:val="00210CFA"/>
    <w:rsid w:val="00210E87"/>
    <w:rsid w:val="00210E94"/>
    <w:rsid w:val="00211059"/>
    <w:rsid w:val="002110E5"/>
    <w:rsid w:val="00211479"/>
    <w:rsid w:val="00211A43"/>
    <w:rsid w:val="00211AEE"/>
    <w:rsid w:val="00211B94"/>
    <w:rsid w:val="00211CD8"/>
    <w:rsid w:val="00211D61"/>
    <w:rsid w:val="00211FE2"/>
    <w:rsid w:val="00212190"/>
    <w:rsid w:val="002121EC"/>
    <w:rsid w:val="0021245F"/>
    <w:rsid w:val="00212749"/>
    <w:rsid w:val="002128A8"/>
    <w:rsid w:val="00212985"/>
    <w:rsid w:val="00212B4F"/>
    <w:rsid w:val="00212E21"/>
    <w:rsid w:val="00213014"/>
    <w:rsid w:val="00213158"/>
    <w:rsid w:val="0021319D"/>
    <w:rsid w:val="002131D3"/>
    <w:rsid w:val="00213348"/>
    <w:rsid w:val="00213359"/>
    <w:rsid w:val="002134FA"/>
    <w:rsid w:val="002138EC"/>
    <w:rsid w:val="00213A52"/>
    <w:rsid w:val="00213B1C"/>
    <w:rsid w:val="00213BC9"/>
    <w:rsid w:val="00213C75"/>
    <w:rsid w:val="00213C9E"/>
    <w:rsid w:val="00214222"/>
    <w:rsid w:val="0021423E"/>
    <w:rsid w:val="00214373"/>
    <w:rsid w:val="0021469D"/>
    <w:rsid w:val="0021477C"/>
    <w:rsid w:val="00214989"/>
    <w:rsid w:val="00214A30"/>
    <w:rsid w:val="00214AAF"/>
    <w:rsid w:val="00214BB4"/>
    <w:rsid w:val="00214BC4"/>
    <w:rsid w:val="00214E3F"/>
    <w:rsid w:val="00214F5A"/>
    <w:rsid w:val="002150C3"/>
    <w:rsid w:val="00215230"/>
    <w:rsid w:val="00215292"/>
    <w:rsid w:val="00215325"/>
    <w:rsid w:val="0021557C"/>
    <w:rsid w:val="00215766"/>
    <w:rsid w:val="00215879"/>
    <w:rsid w:val="002158BD"/>
    <w:rsid w:val="0021591D"/>
    <w:rsid w:val="0021594E"/>
    <w:rsid w:val="00215A67"/>
    <w:rsid w:val="00215BB6"/>
    <w:rsid w:val="00215C09"/>
    <w:rsid w:val="00215C9F"/>
    <w:rsid w:val="00215FB5"/>
    <w:rsid w:val="00216008"/>
    <w:rsid w:val="00216300"/>
    <w:rsid w:val="002165E3"/>
    <w:rsid w:val="002166C8"/>
    <w:rsid w:val="002167ED"/>
    <w:rsid w:val="002168A8"/>
    <w:rsid w:val="00216C47"/>
    <w:rsid w:val="00216C7B"/>
    <w:rsid w:val="00216D11"/>
    <w:rsid w:val="00216D50"/>
    <w:rsid w:val="00216D9D"/>
    <w:rsid w:val="002170EC"/>
    <w:rsid w:val="0021721D"/>
    <w:rsid w:val="00217330"/>
    <w:rsid w:val="00217339"/>
    <w:rsid w:val="0021735F"/>
    <w:rsid w:val="002173BB"/>
    <w:rsid w:val="002173EB"/>
    <w:rsid w:val="0021741D"/>
    <w:rsid w:val="00217441"/>
    <w:rsid w:val="00217565"/>
    <w:rsid w:val="0021778F"/>
    <w:rsid w:val="00217AC7"/>
    <w:rsid w:val="00217F54"/>
    <w:rsid w:val="002203DB"/>
    <w:rsid w:val="0022040B"/>
    <w:rsid w:val="0022047F"/>
    <w:rsid w:val="0022048E"/>
    <w:rsid w:val="002205E6"/>
    <w:rsid w:val="00220805"/>
    <w:rsid w:val="00220B1C"/>
    <w:rsid w:val="00220E1D"/>
    <w:rsid w:val="00220FA8"/>
    <w:rsid w:val="00221114"/>
    <w:rsid w:val="00221147"/>
    <w:rsid w:val="002211CE"/>
    <w:rsid w:val="0022126A"/>
    <w:rsid w:val="00221429"/>
    <w:rsid w:val="002214BC"/>
    <w:rsid w:val="0022156C"/>
    <w:rsid w:val="00221764"/>
    <w:rsid w:val="00221AA9"/>
    <w:rsid w:val="00221AEC"/>
    <w:rsid w:val="00221B37"/>
    <w:rsid w:val="00221CBB"/>
    <w:rsid w:val="00221E9E"/>
    <w:rsid w:val="0022221B"/>
    <w:rsid w:val="002222EC"/>
    <w:rsid w:val="00222374"/>
    <w:rsid w:val="00222451"/>
    <w:rsid w:val="002224AA"/>
    <w:rsid w:val="00222593"/>
    <w:rsid w:val="00222766"/>
    <w:rsid w:val="0022286C"/>
    <w:rsid w:val="00222899"/>
    <w:rsid w:val="002228CD"/>
    <w:rsid w:val="00222C14"/>
    <w:rsid w:val="00222D99"/>
    <w:rsid w:val="00222E40"/>
    <w:rsid w:val="00223023"/>
    <w:rsid w:val="00223129"/>
    <w:rsid w:val="0022317F"/>
    <w:rsid w:val="002231E2"/>
    <w:rsid w:val="00223378"/>
    <w:rsid w:val="002233BF"/>
    <w:rsid w:val="002233C0"/>
    <w:rsid w:val="00223806"/>
    <w:rsid w:val="00223919"/>
    <w:rsid w:val="002239C4"/>
    <w:rsid w:val="00223A03"/>
    <w:rsid w:val="00223A50"/>
    <w:rsid w:val="00223CF0"/>
    <w:rsid w:val="00223D38"/>
    <w:rsid w:val="00223D94"/>
    <w:rsid w:val="00223E7B"/>
    <w:rsid w:val="00223EE7"/>
    <w:rsid w:val="00223FE3"/>
    <w:rsid w:val="002240F1"/>
    <w:rsid w:val="002242FC"/>
    <w:rsid w:val="00224367"/>
    <w:rsid w:val="00224410"/>
    <w:rsid w:val="00224533"/>
    <w:rsid w:val="00224A0D"/>
    <w:rsid w:val="00224BBA"/>
    <w:rsid w:val="00224CF3"/>
    <w:rsid w:val="00224FFB"/>
    <w:rsid w:val="00225027"/>
    <w:rsid w:val="0022509B"/>
    <w:rsid w:val="00225155"/>
    <w:rsid w:val="002252BF"/>
    <w:rsid w:val="002252D8"/>
    <w:rsid w:val="0022548A"/>
    <w:rsid w:val="002254F3"/>
    <w:rsid w:val="0022563D"/>
    <w:rsid w:val="002257EB"/>
    <w:rsid w:val="002257FE"/>
    <w:rsid w:val="0022599C"/>
    <w:rsid w:val="0022599F"/>
    <w:rsid w:val="00225D65"/>
    <w:rsid w:val="00225D6F"/>
    <w:rsid w:val="00225EDE"/>
    <w:rsid w:val="002260AD"/>
    <w:rsid w:val="002260B7"/>
    <w:rsid w:val="0022629A"/>
    <w:rsid w:val="00226432"/>
    <w:rsid w:val="002264FC"/>
    <w:rsid w:val="00226508"/>
    <w:rsid w:val="00226541"/>
    <w:rsid w:val="00226673"/>
    <w:rsid w:val="00226889"/>
    <w:rsid w:val="00226B47"/>
    <w:rsid w:val="00226D5D"/>
    <w:rsid w:val="00226DA1"/>
    <w:rsid w:val="00226E5C"/>
    <w:rsid w:val="00226E91"/>
    <w:rsid w:val="00226FBF"/>
    <w:rsid w:val="00227069"/>
    <w:rsid w:val="0022708A"/>
    <w:rsid w:val="0022709A"/>
    <w:rsid w:val="002270E6"/>
    <w:rsid w:val="00227138"/>
    <w:rsid w:val="002272B9"/>
    <w:rsid w:val="0022738F"/>
    <w:rsid w:val="00227448"/>
    <w:rsid w:val="0022764D"/>
    <w:rsid w:val="00227975"/>
    <w:rsid w:val="00227A7E"/>
    <w:rsid w:val="00227B1C"/>
    <w:rsid w:val="00227BA6"/>
    <w:rsid w:val="00227BC4"/>
    <w:rsid w:val="00227C90"/>
    <w:rsid w:val="00227CAA"/>
    <w:rsid w:val="00227CCB"/>
    <w:rsid w:val="00227D4B"/>
    <w:rsid w:val="00227DF5"/>
    <w:rsid w:val="00227EA7"/>
    <w:rsid w:val="00227F49"/>
    <w:rsid w:val="00230022"/>
    <w:rsid w:val="0023007C"/>
    <w:rsid w:val="00230081"/>
    <w:rsid w:val="0023079F"/>
    <w:rsid w:val="002308B6"/>
    <w:rsid w:val="002309BD"/>
    <w:rsid w:val="00230B8D"/>
    <w:rsid w:val="00230BE7"/>
    <w:rsid w:val="00230D77"/>
    <w:rsid w:val="00231052"/>
    <w:rsid w:val="0023109F"/>
    <w:rsid w:val="00231140"/>
    <w:rsid w:val="0023134A"/>
    <w:rsid w:val="00231840"/>
    <w:rsid w:val="00231B4E"/>
    <w:rsid w:val="00231B9F"/>
    <w:rsid w:val="00231C7C"/>
    <w:rsid w:val="00231C85"/>
    <w:rsid w:val="00231E16"/>
    <w:rsid w:val="00231E79"/>
    <w:rsid w:val="00232012"/>
    <w:rsid w:val="00232140"/>
    <w:rsid w:val="00232228"/>
    <w:rsid w:val="0023237E"/>
    <w:rsid w:val="002323E2"/>
    <w:rsid w:val="00232557"/>
    <w:rsid w:val="00232591"/>
    <w:rsid w:val="002326B6"/>
    <w:rsid w:val="002326D9"/>
    <w:rsid w:val="00232792"/>
    <w:rsid w:val="0023286E"/>
    <w:rsid w:val="002328D8"/>
    <w:rsid w:val="00232AAE"/>
    <w:rsid w:val="00232CFB"/>
    <w:rsid w:val="00232D0A"/>
    <w:rsid w:val="00232D2E"/>
    <w:rsid w:val="00232E7A"/>
    <w:rsid w:val="00232F3D"/>
    <w:rsid w:val="00232FDF"/>
    <w:rsid w:val="002332F1"/>
    <w:rsid w:val="00233328"/>
    <w:rsid w:val="0023336D"/>
    <w:rsid w:val="0023344E"/>
    <w:rsid w:val="002334DF"/>
    <w:rsid w:val="002335FC"/>
    <w:rsid w:val="002337EF"/>
    <w:rsid w:val="00233983"/>
    <w:rsid w:val="00233A1E"/>
    <w:rsid w:val="00233A2E"/>
    <w:rsid w:val="00233A82"/>
    <w:rsid w:val="00233A9F"/>
    <w:rsid w:val="00233BA5"/>
    <w:rsid w:val="00233DFB"/>
    <w:rsid w:val="00233E69"/>
    <w:rsid w:val="00233F39"/>
    <w:rsid w:val="002341BF"/>
    <w:rsid w:val="002341C9"/>
    <w:rsid w:val="002342C4"/>
    <w:rsid w:val="00234426"/>
    <w:rsid w:val="00234526"/>
    <w:rsid w:val="002347A2"/>
    <w:rsid w:val="002347D3"/>
    <w:rsid w:val="002347F4"/>
    <w:rsid w:val="00234998"/>
    <w:rsid w:val="00234A96"/>
    <w:rsid w:val="00234B14"/>
    <w:rsid w:val="00234BBF"/>
    <w:rsid w:val="00234E68"/>
    <w:rsid w:val="002351C5"/>
    <w:rsid w:val="002351D3"/>
    <w:rsid w:val="00235213"/>
    <w:rsid w:val="0023534C"/>
    <w:rsid w:val="00235426"/>
    <w:rsid w:val="0023545D"/>
    <w:rsid w:val="0023545E"/>
    <w:rsid w:val="00235AA0"/>
    <w:rsid w:val="00235B58"/>
    <w:rsid w:val="00235B99"/>
    <w:rsid w:val="00235CF2"/>
    <w:rsid w:val="00235D43"/>
    <w:rsid w:val="00235FD4"/>
    <w:rsid w:val="00236082"/>
    <w:rsid w:val="002361D1"/>
    <w:rsid w:val="0023624F"/>
    <w:rsid w:val="00236252"/>
    <w:rsid w:val="00236503"/>
    <w:rsid w:val="0023650A"/>
    <w:rsid w:val="00236546"/>
    <w:rsid w:val="002365DE"/>
    <w:rsid w:val="00236704"/>
    <w:rsid w:val="0023680D"/>
    <w:rsid w:val="00236882"/>
    <w:rsid w:val="00236930"/>
    <w:rsid w:val="00236AA3"/>
    <w:rsid w:val="00236AB4"/>
    <w:rsid w:val="00236B79"/>
    <w:rsid w:val="00236BD0"/>
    <w:rsid w:val="00236D25"/>
    <w:rsid w:val="00236F85"/>
    <w:rsid w:val="00237045"/>
    <w:rsid w:val="0023722C"/>
    <w:rsid w:val="0023729A"/>
    <w:rsid w:val="0023754F"/>
    <w:rsid w:val="002376AF"/>
    <w:rsid w:val="00237987"/>
    <w:rsid w:val="00237992"/>
    <w:rsid w:val="00237CE9"/>
    <w:rsid w:val="00237E2C"/>
    <w:rsid w:val="00240053"/>
    <w:rsid w:val="00240115"/>
    <w:rsid w:val="00240191"/>
    <w:rsid w:val="00240402"/>
    <w:rsid w:val="00240455"/>
    <w:rsid w:val="002406E4"/>
    <w:rsid w:val="002406EC"/>
    <w:rsid w:val="002406F7"/>
    <w:rsid w:val="0024074B"/>
    <w:rsid w:val="002407FA"/>
    <w:rsid w:val="002409C7"/>
    <w:rsid w:val="00240A66"/>
    <w:rsid w:val="00240EE0"/>
    <w:rsid w:val="00240FB8"/>
    <w:rsid w:val="0024101F"/>
    <w:rsid w:val="00241188"/>
    <w:rsid w:val="002411B3"/>
    <w:rsid w:val="0024136C"/>
    <w:rsid w:val="0024153A"/>
    <w:rsid w:val="0024158C"/>
    <w:rsid w:val="00241601"/>
    <w:rsid w:val="0024185D"/>
    <w:rsid w:val="00241930"/>
    <w:rsid w:val="00241ABD"/>
    <w:rsid w:val="00241B5B"/>
    <w:rsid w:val="00241BA6"/>
    <w:rsid w:val="00241FE7"/>
    <w:rsid w:val="00242043"/>
    <w:rsid w:val="002422E2"/>
    <w:rsid w:val="002425FB"/>
    <w:rsid w:val="002428C5"/>
    <w:rsid w:val="0024295A"/>
    <w:rsid w:val="00242B46"/>
    <w:rsid w:val="00242C05"/>
    <w:rsid w:val="00242DC9"/>
    <w:rsid w:val="00242E44"/>
    <w:rsid w:val="00242EA3"/>
    <w:rsid w:val="002431AC"/>
    <w:rsid w:val="0024326D"/>
    <w:rsid w:val="002433B2"/>
    <w:rsid w:val="002433F7"/>
    <w:rsid w:val="00243622"/>
    <w:rsid w:val="002436B3"/>
    <w:rsid w:val="00243A93"/>
    <w:rsid w:val="00243B03"/>
    <w:rsid w:val="00243B23"/>
    <w:rsid w:val="00243BD7"/>
    <w:rsid w:val="00243C2C"/>
    <w:rsid w:val="00243CA3"/>
    <w:rsid w:val="00243E3D"/>
    <w:rsid w:val="00243F53"/>
    <w:rsid w:val="00244136"/>
    <w:rsid w:val="0024440F"/>
    <w:rsid w:val="002444A4"/>
    <w:rsid w:val="0024470B"/>
    <w:rsid w:val="00244718"/>
    <w:rsid w:val="002449F9"/>
    <w:rsid w:val="00244B22"/>
    <w:rsid w:val="00244BA5"/>
    <w:rsid w:val="00244BAE"/>
    <w:rsid w:val="00244C64"/>
    <w:rsid w:val="00244FE9"/>
    <w:rsid w:val="0024544E"/>
    <w:rsid w:val="0024546F"/>
    <w:rsid w:val="002454FA"/>
    <w:rsid w:val="0024556E"/>
    <w:rsid w:val="00245698"/>
    <w:rsid w:val="002457F4"/>
    <w:rsid w:val="002458EA"/>
    <w:rsid w:val="00245B35"/>
    <w:rsid w:val="00245BAA"/>
    <w:rsid w:val="00245CC0"/>
    <w:rsid w:val="00245E6E"/>
    <w:rsid w:val="00245EE5"/>
    <w:rsid w:val="00245F39"/>
    <w:rsid w:val="00245FB9"/>
    <w:rsid w:val="0024614F"/>
    <w:rsid w:val="00246152"/>
    <w:rsid w:val="002461F6"/>
    <w:rsid w:val="0024626F"/>
    <w:rsid w:val="00246469"/>
    <w:rsid w:val="002464C6"/>
    <w:rsid w:val="0024677E"/>
    <w:rsid w:val="00246BCE"/>
    <w:rsid w:val="00246C6E"/>
    <w:rsid w:val="00246C7A"/>
    <w:rsid w:val="00246D16"/>
    <w:rsid w:val="002470E5"/>
    <w:rsid w:val="00247346"/>
    <w:rsid w:val="002473A2"/>
    <w:rsid w:val="00247462"/>
    <w:rsid w:val="002474CE"/>
    <w:rsid w:val="00247521"/>
    <w:rsid w:val="002476E5"/>
    <w:rsid w:val="00247886"/>
    <w:rsid w:val="0024796A"/>
    <w:rsid w:val="00247C91"/>
    <w:rsid w:val="00247CC9"/>
    <w:rsid w:val="00247CD1"/>
    <w:rsid w:val="00247CDB"/>
    <w:rsid w:val="00247CE0"/>
    <w:rsid w:val="00247DFC"/>
    <w:rsid w:val="00247EC9"/>
    <w:rsid w:val="00247F0A"/>
    <w:rsid w:val="00247F7A"/>
    <w:rsid w:val="00247F96"/>
    <w:rsid w:val="00250059"/>
    <w:rsid w:val="002501FF"/>
    <w:rsid w:val="00250217"/>
    <w:rsid w:val="002502D0"/>
    <w:rsid w:val="0025044C"/>
    <w:rsid w:val="002504BE"/>
    <w:rsid w:val="0025056E"/>
    <w:rsid w:val="002505DF"/>
    <w:rsid w:val="002505F7"/>
    <w:rsid w:val="0025060C"/>
    <w:rsid w:val="002506B3"/>
    <w:rsid w:val="00250757"/>
    <w:rsid w:val="00250796"/>
    <w:rsid w:val="002508C1"/>
    <w:rsid w:val="00250935"/>
    <w:rsid w:val="00250C23"/>
    <w:rsid w:val="0025104D"/>
    <w:rsid w:val="0025107F"/>
    <w:rsid w:val="00251546"/>
    <w:rsid w:val="0025154D"/>
    <w:rsid w:val="0025160F"/>
    <w:rsid w:val="002516B3"/>
    <w:rsid w:val="002516CF"/>
    <w:rsid w:val="0025186E"/>
    <w:rsid w:val="00251A65"/>
    <w:rsid w:val="00251E30"/>
    <w:rsid w:val="00251E66"/>
    <w:rsid w:val="00251E6C"/>
    <w:rsid w:val="002520B7"/>
    <w:rsid w:val="002521AC"/>
    <w:rsid w:val="002523E5"/>
    <w:rsid w:val="00252410"/>
    <w:rsid w:val="00252459"/>
    <w:rsid w:val="00252970"/>
    <w:rsid w:val="002529EB"/>
    <w:rsid w:val="00252BA6"/>
    <w:rsid w:val="00252CB3"/>
    <w:rsid w:val="00252F77"/>
    <w:rsid w:val="00252F95"/>
    <w:rsid w:val="0025311B"/>
    <w:rsid w:val="0025321F"/>
    <w:rsid w:val="0025325C"/>
    <w:rsid w:val="00253388"/>
    <w:rsid w:val="002533A6"/>
    <w:rsid w:val="0025341E"/>
    <w:rsid w:val="002534D3"/>
    <w:rsid w:val="002535C9"/>
    <w:rsid w:val="002535EE"/>
    <w:rsid w:val="00253865"/>
    <w:rsid w:val="00253894"/>
    <w:rsid w:val="002539A7"/>
    <w:rsid w:val="00253A1D"/>
    <w:rsid w:val="00253E61"/>
    <w:rsid w:val="002540BA"/>
    <w:rsid w:val="00254295"/>
    <w:rsid w:val="002543D9"/>
    <w:rsid w:val="00254479"/>
    <w:rsid w:val="002545DF"/>
    <w:rsid w:val="002547C6"/>
    <w:rsid w:val="002547FB"/>
    <w:rsid w:val="00254A5A"/>
    <w:rsid w:val="00254AC2"/>
    <w:rsid w:val="00254D1E"/>
    <w:rsid w:val="00254EB3"/>
    <w:rsid w:val="002550A5"/>
    <w:rsid w:val="002550FB"/>
    <w:rsid w:val="002551D8"/>
    <w:rsid w:val="00255233"/>
    <w:rsid w:val="002553C7"/>
    <w:rsid w:val="0025541D"/>
    <w:rsid w:val="002554C1"/>
    <w:rsid w:val="002555AA"/>
    <w:rsid w:val="00255676"/>
    <w:rsid w:val="002558C5"/>
    <w:rsid w:val="00255B95"/>
    <w:rsid w:val="00255CAE"/>
    <w:rsid w:val="00255D0C"/>
    <w:rsid w:val="00255DA2"/>
    <w:rsid w:val="0025629C"/>
    <w:rsid w:val="00256342"/>
    <w:rsid w:val="00256345"/>
    <w:rsid w:val="0025635B"/>
    <w:rsid w:val="002564AA"/>
    <w:rsid w:val="002564EA"/>
    <w:rsid w:val="002565EC"/>
    <w:rsid w:val="00256734"/>
    <w:rsid w:val="002567BE"/>
    <w:rsid w:val="00256881"/>
    <w:rsid w:val="00256B8F"/>
    <w:rsid w:val="00256F4E"/>
    <w:rsid w:val="00256F82"/>
    <w:rsid w:val="002570FC"/>
    <w:rsid w:val="002573DB"/>
    <w:rsid w:val="00257565"/>
    <w:rsid w:val="00257698"/>
    <w:rsid w:val="00257735"/>
    <w:rsid w:val="00257A2E"/>
    <w:rsid w:val="00257B89"/>
    <w:rsid w:val="00257D1E"/>
    <w:rsid w:val="00257D2E"/>
    <w:rsid w:val="00257DB4"/>
    <w:rsid w:val="00257E06"/>
    <w:rsid w:val="00257E85"/>
    <w:rsid w:val="00260230"/>
    <w:rsid w:val="00260340"/>
    <w:rsid w:val="00260453"/>
    <w:rsid w:val="0026056B"/>
    <w:rsid w:val="00260758"/>
    <w:rsid w:val="00260763"/>
    <w:rsid w:val="002607A4"/>
    <w:rsid w:val="002608C2"/>
    <w:rsid w:val="00260C02"/>
    <w:rsid w:val="00260D25"/>
    <w:rsid w:val="00260EBE"/>
    <w:rsid w:val="00261374"/>
    <w:rsid w:val="002614A4"/>
    <w:rsid w:val="00261584"/>
    <w:rsid w:val="0026158C"/>
    <w:rsid w:val="0026159A"/>
    <w:rsid w:val="0026159D"/>
    <w:rsid w:val="002615A6"/>
    <w:rsid w:val="0026173B"/>
    <w:rsid w:val="0026183B"/>
    <w:rsid w:val="0026184C"/>
    <w:rsid w:val="00261905"/>
    <w:rsid w:val="00261B56"/>
    <w:rsid w:val="00261BEA"/>
    <w:rsid w:val="00261C23"/>
    <w:rsid w:val="00261C68"/>
    <w:rsid w:val="00261DEC"/>
    <w:rsid w:val="00261E08"/>
    <w:rsid w:val="00261F01"/>
    <w:rsid w:val="00261F16"/>
    <w:rsid w:val="00262054"/>
    <w:rsid w:val="00262151"/>
    <w:rsid w:val="002621FC"/>
    <w:rsid w:val="0026232D"/>
    <w:rsid w:val="00262397"/>
    <w:rsid w:val="0026256D"/>
    <w:rsid w:val="002625DC"/>
    <w:rsid w:val="00262871"/>
    <w:rsid w:val="002628D3"/>
    <w:rsid w:val="00262CD9"/>
    <w:rsid w:val="00262E56"/>
    <w:rsid w:val="00262FA7"/>
    <w:rsid w:val="00262FB4"/>
    <w:rsid w:val="00263040"/>
    <w:rsid w:val="00263358"/>
    <w:rsid w:val="00263387"/>
    <w:rsid w:val="0026340E"/>
    <w:rsid w:val="00263484"/>
    <w:rsid w:val="0026350F"/>
    <w:rsid w:val="002635A5"/>
    <w:rsid w:val="00263848"/>
    <w:rsid w:val="0026395C"/>
    <w:rsid w:val="00263A88"/>
    <w:rsid w:val="00263B63"/>
    <w:rsid w:val="00263CDC"/>
    <w:rsid w:val="00263D85"/>
    <w:rsid w:val="00263D99"/>
    <w:rsid w:val="00263DFD"/>
    <w:rsid w:val="00263EBA"/>
    <w:rsid w:val="00263F12"/>
    <w:rsid w:val="00263FF3"/>
    <w:rsid w:val="00264462"/>
    <w:rsid w:val="0026448C"/>
    <w:rsid w:val="00264545"/>
    <w:rsid w:val="0026470F"/>
    <w:rsid w:val="002647EF"/>
    <w:rsid w:val="00264B4F"/>
    <w:rsid w:val="00264C3E"/>
    <w:rsid w:val="00264D99"/>
    <w:rsid w:val="00264E30"/>
    <w:rsid w:val="00264E9B"/>
    <w:rsid w:val="00264F76"/>
    <w:rsid w:val="0026500A"/>
    <w:rsid w:val="002650F9"/>
    <w:rsid w:val="0026518C"/>
    <w:rsid w:val="002652FB"/>
    <w:rsid w:val="002653EC"/>
    <w:rsid w:val="00265497"/>
    <w:rsid w:val="00265588"/>
    <w:rsid w:val="00265660"/>
    <w:rsid w:val="00265672"/>
    <w:rsid w:val="0026570A"/>
    <w:rsid w:val="00265855"/>
    <w:rsid w:val="00265907"/>
    <w:rsid w:val="002659B4"/>
    <w:rsid w:val="002659B8"/>
    <w:rsid w:val="00265A61"/>
    <w:rsid w:val="00265A69"/>
    <w:rsid w:val="00265B01"/>
    <w:rsid w:val="00265B42"/>
    <w:rsid w:val="00265C7E"/>
    <w:rsid w:val="00265CCE"/>
    <w:rsid w:val="0026618A"/>
    <w:rsid w:val="002663FD"/>
    <w:rsid w:val="00266560"/>
    <w:rsid w:val="00266580"/>
    <w:rsid w:val="00266658"/>
    <w:rsid w:val="002667CF"/>
    <w:rsid w:val="00266904"/>
    <w:rsid w:val="002669CA"/>
    <w:rsid w:val="00266DAC"/>
    <w:rsid w:val="00266DAE"/>
    <w:rsid w:val="00266F40"/>
    <w:rsid w:val="002670F6"/>
    <w:rsid w:val="0026741F"/>
    <w:rsid w:val="002676D3"/>
    <w:rsid w:val="00267AAF"/>
    <w:rsid w:val="00267C54"/>
    <w:rsid w:val="00267C7F"/>
    <w:rsid w:val="00267CB6"/>
    <w:rsid w:val="0027024C"/>
    <w:rsid w:val="002702D9"/>
    <w:rsid w:val="00270375"/>
    <w:rsid w:val="002706CF"/>
    <w:rsid w:val="002706E5"/>
    <w:rsid w:val="002708B8"/>
    <w:rsid w:val="002708C5"/>
    <w:rsid w:val="002709AF"/>
    <w:rsid w:val="00270A28"/>
    <w:rsid w:val="00270BC7"/>
    <w:rsid w:val="00270CEE"/>
    <w:rsid w:val="00270E6D"/>
    <w:rsid w:val="00270F62"/>
    <w:rsid w:val="00270FC2"/>
    <w:rsid w:val="002712E1"/>
    <w:rsid w:val="0027131F"/>
    <w:rsid w:val="002713F8"/>
    <w:rsid w:val="00271472"/>
    <w:rsid w:val="00271610"/>
    <w:rsid w:val="00271794"/>
    <w:rsid w:val="002717B0"/>
    <w:rsid w:val="00271ABD"/>
    <w:rsid w:val="00271C47"/>
    <w:rsid w:val="00271D01"/>
    <w:rsid w:val="00271DC1"/>
    <w:rsid w:val="00271DDA"/>
    <w:rsid w:val="00271EDD"/>
    <w:rsid w:val="00272012"/>
    <w:rsid w:val="0027205A"/>
    <w:rsid w:val="00272089"/>
    <w:rsid w:val="00272265"/>
    <w:rsid w:val="0027231D"/>
    <w:rsid w:val="00272323"/>
    <w:rsid w:val="0027234F"/>
    <w:rsid w:val="0027292D"/>
    <w:rsid w:val="00272E2A"/>
    <w:rsid w:val="00272E7F"/>
    <w:rsid w:val="00272EB3"/>
    <w:rsid w:val="00272F37"/>
    <w:rsid w:val="0027310E"/>
    <w:rsid w:val="0027314D"/>
    <w:rsid w:val="002738EF"/>
    <w:rsid w:val="00273A90"/>
    <w:rsid w:val="00273E96"/>
    <w:rsid w:val="00274056"/>
    <w:rsid w:val="002740EC"/>
    <w:rsid w:val="002742DE"/>
    <w:rsid w:val="0027459F"/>
    <w:rsid w:val="002745B5"/>
    <w:rsid w:val="0027466B"/>
    <w:rsid w:val="002749D2"/>
    <w:rsid w:val="00274ED9"/>
    <w:rsid w:val="0027505F"/>
    <w:rsid w:val="00275085"/>
    <w:rsid w:val="00275269"/>
    <w:rsid w:val="00275292"/>
    <w:rsid w:val="002752D3"/>
    <w:rsid w:val="0027532E"/>
    <w:rsid w:val="0027535B"/>
    <w:rsid w:val="00275420"/>
    <w:rsid w:val="00275431"/>
    <w:rsid w:val="00275521"/>
    <w:rsid w:val="00275570"/>
    <w:rsid w:val="0027571E"/>
    <w:rsid w:val="002757AC"/>
    <w:rsid w:val="002757EE"/>
    <w:rsid w:val="00275A32"/>
    <w:rsid w:val="00275B96"/>
    <w:rsid w:val="00275BE6"/>
    <w:rsid w:val="00275C9A"/>
    <w:rsid w:val="00275D39"/>
    <w:rsid w:val="00275DF5"/>
    <w:rsid w:val="00275E69"/>
    <w:rsid w:val="00275EBE"/>
    <w:rsid w:val="00276032"/>
    <w:rsid w:val="0027608B"/>
    <w:rsid w:val="002760BD"/>
    <w:rsid w:val="002760C7"/>
    <w:rsid w:val="0027643B"/>
    <w:rsid w:val="00276469"/>
    <w:rsid w:val="00276578"/>
    <w:rsid w:val="002765EC"/>
    <w:rsid w:val="00276624"/>
    <w:rsid w:val="002766E3"/>
    <w:rsid w:val="00276837"/>
    <w:rsid w:val="0027685D"/>
    <w:rsid w:val="00276954"/>
    <w:rsid w:val="00276998"/>
    <w:rsid w:val="002769CB"/>
    <w:rsid w:val="00276B5C"/>
    <w:rsid w:val="00276C75"/>
    <w:rsid w:val="00276CA1"/>
    <w:rsid w:val="00276D10"/>
    <w:rsid w:val="00276DA3"/>
    <w:rsid w:val="00276DD9"/>
    <w:rsid w:val="0027703C"/>
    <w:rsid w:val="0027706E"/>
    <w:rsid w:val="002771B0"/>
    <w:rsid w:val="0027725B"/>
    <w:rsid w:val="00277425"/>
    <w:rsid w:val="00277442"/>
    <w:rsid w:val="00277581"/>
    <w:rsid w:val="00277651"/>
    <w:rsid w:val="00277730"/>
    <w:rsid w:val="0027786C"/>
    <w:rsid w:val="0027792F"/>
    <w:rsid w:val="0027797A"/>
    <w:rsid w:val="002779B6"/>
    <w:rsid w:val="00277A37"/>
    <w:rsid w:val="00277B77"/>
    <w:rsid w:val="00277BF4"/>
    <w:rsid w:val="00277C12"/>
    <w:rsid w:val="00277C76"/>
    <w:rsid w:val="00277C94"/>
    <w:rsid w:val="00277FB6"/>
    <w:rsid w:val="00277FC4"/>
    <w:rsid w:val="00280140"/>
    <w:rsid w:val="002801B2"/>
    <w:rsid w:val="00280392"/>
    <w:rsid w:val="002804A3"/>
    <w:rsid w:val="0028059A"/>
    <w:rsid w:val="0028064B"/>
    <w:rsid w:val="0028077B"/>
    <w:rsid w:val="002807F4"/>
    <w:rsid w:val="0028086D"/>
    <w:rsid w:val="00280A61"/>
    <w:rsid w:val="00280B95"/>
    <w:rsid w:val="00280E8C"/>
    <w:rsid w:val="00281134"/>
    <w:rsid w:val="0028114D"/>
    <w:rsid w:val="002811A1"/>
    <w:rsid w:val="00281264"/>
    <w:rsid w:val="00281563"/>
    <w:rsid w:val="0028163A"/>
    <w:rsid w:val="002817F3"/>
    <w:rsid w:val="00281ADD"/>
    <w:rsid w:val="0028200C"/>
    <w:rsid w:val="002820DE"/>
    <w:rsid w:val="00282119"/>
    <w:rsid w:val="0028218E"/>
    <w:rsid w:val="0028223A"/>
    <w:rsid w:val="002822B2"/>
    <w:rsid w:val="002822B7"/>
    <w:rsid w:val="002822C3"/>
    <w:rsid w:val="00282394"/>
    <w:rsid w:val="002823AE"/>
    <w:rsid w:val="0028249A"/>
    <w:rsid w:val="00282735"/>
    <w:rsid w:val="0028280E"/>
    <w:rsid w:val="00282851"/>
    <w:rsid w:val="0028286B"/>
    <w:rsid w:val="0028289B"/>
    <w:rsid w:val="002828A6"/>
    <w:rsid w:val="00282ADD"/>
    <w:rsid w:val="00282B29"/>
    <w:rsid w:val="00282DED"/>
    <w:rsid w:val="00282ED2"/>
    <w:rsid w:val="00282F42"/>
    <w:rsid w:val="00282FFD"/>
    <w:rsid w:val="00283046"/>
    <w:rsid w:val="002830C8"/>
    <w:rsid w:val="002831A5"/>
    <w:rsid w:val="0028349F"/>
    <w:rsid w:val="002834A2"/>
    <w:rsid w:val="002834D1"/>
    <w:rsid w:val="00283627"/>
    <w:rsid w:val="00283650"/>
    <w:rsid w:val="0028378F"/>
    <w:rsid w:val="00283830"/>
    <w:rsid w:val="00283967"/>
    <w:rsid w:val="00283B54"/>
    <w:rsid w:val="00283C8F"/>
    <w:rsid w:val="00283D93"/>
    <w:rsid w:val="00283DEA"/>
    <w:rsid w:val="00284123"/>
    <w:rsid w:val="00284368"/>
    <w:rsid w:val="002844D8"/>
    <w:rsid w:val="002845CC"/>
    <w:rsid w:val="00284667"/>
    <w:rsid w:val="00284742"/>
    <w:rsid w:val="00284A6C"/>
    <w:rsid w:val="00284A9F"/>
    <w:rsid w:val="00284ADC"/>
    <w:rsid w:val="002850C0"/>
    <w:rsid w:val="002852AD"/>
    <w:rsid w:val="002852BC"/>
    <w:rsid w:val="0028533C"/>
    <w:rsid w:val="0028537B"/>
    <w:rsid w:val="00285383"/>
    <w:rsid w:val="002854D5"/>
    <w:rsid w:val="002855AE"/>
    <w:rsid w:val="00285615"/>
    <w:rsid w:val="002858ED"/>
    <w:rsid w:val="00285A80"/>
    <w:rsid w:val="00285D5D"/>
    <w:rsid w:val="00285DCD"/>
    <w:rsid w:val="00285E80"/>
    <w:rsid w:val="00285EAF"/>
    <w:rsid w:val="0028602D"/>
    <w:rsid w:val="00286042"/>
    <w:rsid w:val="0028616A"/>
    <w:rsid w:val="00286256"/>
    <w:rsid w:val="002864B0"/>
    <w:rsid w:val="002864EB"/>
    <w:rsid w:val="00286636"/>
    <w:rsid w:val="002866E9"/>
    <w:rsid w:val="00286843"/>
    <w:rsid w:val="002869E8"/>
    <w:rsid w:val="00286AC1"/>
    <w:rsid w:val="00286AED"/>
    <w:rsid w:val="00286AF9"/>
    <w:rsid w:val="00286C4E"/>
    <w:rsid w:val="00286DBF"/>
    <w:rsid w:val="00287021"/>
    <w:rsid w:val="002871E7"/>
    <w:rsid w:val="00287599"/>
    <w:rsid w:val="0028767C"/>
    <w:rsid w:val="002876CF"/>
    <w:rsid w:val="00287DA0"/>
    <w:rsid w:val="00287DDE"/>
    <w:rsid w:val="00287F8F"/>
    <w:rsid w:val="0029012B"/>
    <w:rsid w:val="00290248"/>
    <w:rsid w:val="002903B7"/>
    <w:rsid w:val="00290466"/>
    <w:rsid w:val="00290569"/>
    <w:rsid w:val="002905E8"/>
    <w:rsid w:val="00290607"/>
    <w:rsid w:val="00290631"/>
    <w:rsid w:val="002906F9"/>
    <w:rsid w:val="0029074C"/>
    <w:rsid w:val="00290947"/>
    <w:rsid w:val="0029096D"/>
    <w:rsid w:val="00290980"/>
    <w:rsid w:val="002909B7"/>
    <w:rsid w:val="00290AA5"/>
    <w:rsid w:val="00290C86"/>
    <w:rsid w:val="00290D61"/>
    <w:rsid w:val="00290DBD"/>
    <w:rsid w:val="00290E0C"/>
    <w:rsid w:val="00290F8B"/>
    <w:rsid w:val="0029123F"/>
    <w:rsid w:val="00291414"/>
    <w:rsid w:val="002914D3"/>
    <w:rsid w:val="00291750"/>
    <w:rsid w:val="002917BB"/>
    <w:rsid w:val="00291A3F"/>
    <w:rsid w:val="00291B14"/>
    <w:rsid w:val="00291B47"/>
    <w:rsid w:val="00291BDF"/>
    <w:rsid w:val="00291E1E"/>
    <w:rsid w:val="00291EC8"/>
    <w:rsid w:val="0029207A"/>
    <w:rsid w:val="00292169"/>
    <w:rsid w:val="00292375"/>
    <w:rsid w:val="00292452"/>
    <w:rsid w:val="00292489"/>
    <w:rsid w:val="002924E8"/>
    <w:rsid w:val="002924EF"/>
    <w:rsid w:val="002924F1"/>
    <w:rsid w:val="00292925"/>
    <w:rsid w:val="00292A92"/>
    <w:rsid w:val="00292B6A"/>
    <w:rsid w:val="00292F97"/>
    <w:rsid w:val="00293025"/>
    <w:rsid w:val="002931F6"/>
    <w:rsid w:val="00293347"/>
    <w:rsid w:val="002933EF"/>
    <w:rsid w:val="0029356E"/>
    <w:rsid w:val="002935C6"/>
    <w:rsid w:val="00293782"/>
    <w:rsid w:val="002939D7"/>
    <w:rsid w:val="002939F7"/>
    <w:rsid w:val="00293A81"/>
    <w:rsid w:val="00293AD2"/>
    <w:rsid w:val="00293B50"/>
    <w:rsid w:val="00293BDE"/>
    <w:rsid w:val="00293BE4"/>
    <w:rsid w:val="00293C6D"/>
    <w:rsid w:val="00293D16"/>
    <w:rsid w:val="00293E9E"/>
    <w:rsid w:val="00293F07"/>
    <w:rsid w:val="00293F86"/>
    <w:rsid w:val="00294082"/>
    <w:rsid w:val="002940F7"/>
    <w:rsid w:val="002942B3"/>
    <w:rsid w:val="002942DA"/>
    <w:rsid w:val="00294300"/>
    <w:rsid w:val="00294494"/>
    <w:rsid w:val="0029452D"/>
    <w:rsid w:val="002946E0"/>
    <w:rsid w:val="00294724"/>
    <w:rsid w:val="00294762"/>
    <w:rsid w:val="0029484D"/>
    <w:rsid w:val="002948A7"/>
    <w:rsid w:val="002948A8"/>
    <w:rsid w:val="0029495A"/>
    <w:rsid w:val="002949D1"/>
    <w:rsid w:val="00294A5B"/>
    <w:rsid w:val="00294A7F"/>
    <w:rsid w:val="00294C93"/>
    <w:rsid w:val="00294DB1"/>
    <w:rsid w:val="00294F63"/>
    <w:rsid w:val="00295273"/>
    <w:rsid w:val="00295376"/>
    <w:rsid w:val="002953A1"/>
    <w:rsid w:val="0029553D"/>
    <w:rsid w:val="002955DB"/>
    <w:rsid w:val="002955FD"/>
    <w:rsid w:val="00295634"/>
    <w:rsid w:val="00295A23"/>
    <w:rsid w:val="00295A53"/>
    <w:rsid w:val="00295B8E"/>
    <w:rsid w:val="00295BAF"/>
    <w:rsid w:val="00295E44"/>
    <w:rsid w:val="00295FC5"/>
    <w:rsid w:val="0029630B"/>
    <w:rsid w:val="0029647F"/>
    <w:rsid w:val="00296846"/>
    <w:rsid w:val="00296887"/>
    <w:rsid w:val="002968F4"/>
    <w:rsid w:val="00296943"/>
    <w:rsid w:val="0029695D"/>
    <w:rsid w:val="002969A4"/>
    <w:rsid w:val="00296E46"/>
    <w:rsid w:val="00296E56"/>
    <w:rsid w:val="00296E99"/>
    <w:rsid w:val="0029700C"/>
    <w:rsid w:val="00297038"/>
    <w:rsid w:val="002974E0"/>
    <w:rsid w:val="00297543"/>
    <w:rsid w:val="0029756E"/>
    <w:rsid w:val="002978B5"/>
    <w:rsid w:val="0029795E"/>
    <w:rsid w:val="002979E5"/>
    <w:rsid w:val="00297B5B"/>
    <w:rsid w:val="00297BF2"/>
    <w:rsid w:val="00297DF5"/>
    <w:rsid w:val="00297E93"/>
    <w:rsid w:val="00297EB9"/>
    <w:rsid w:val="00297F4D"/>
    <w:rsid w:val="002A0089"/>
    <w:rsid w:val="002A0168"/>
    <w:rsid w:val="002A01B5"/>
    <w:rsid w:val="002A01DE"/>
    <w:rsid w:val="002A022F"/>
    <w:rsid w:val="002A0489"/>
    <w:rsid w:val="002A04B2"/>
    <w:rsid w:val="002A08BD"/>
    <w:rsid w:val="002A0AF5"/>
    <w:rsid w:val="002A0B6C"/>
    <w:rsid w:val="002A0C08"/>
    <w:rsid w:val="002A0C1D"/>
    <w:rsid w:val="002A0D2F"/>
    <w:rsid w:val="002A0D33"/>
    <w:rsid w:val="002A0D37"/>
    <w:rsid w:val="002A0E7F"/>
    <w:rsid w:val="002A0F86"/>
    <w:rsid w:val="002A0FF6"/>
    <w:rsid w:val="002A102E"/>
    <w:rsid w:val="002A1039"/>
    <w:rsid w:val="002A11BF"/>
    <w:rsid w:val="002A12BD"/>
    <w:rsid w:val="002A14D2"/>
    <w:rsid w:val="002A18FF"/>
    <w:rsid w:val="002A1BE0"/>
    <w:rsid w:val="002A1C28"/>
    <w:rsid w:val="002A1C2B"/>
    <w:rsid w:val="002A1C9D"/>
    <w:rsid w:val="002A1D6E"/>
    <w:rsid w:val="002A1F37"/>
    <w:rsid w:val="002A2134"/>
    <w:rsid w:val="002A23DE"/>
    <w:rsid w:val="002A2486"/>
    <w:rsid w:val="002A26DF"/>
    <w:rsid w:val="002A2C49"/>
    <w:rsid w:val="002A2C70"/>
    <w:rsid w:val="002A2C79"/>
    <w:rsid w:val="002A2E9A"/>
    <w:rsid w:val="002A2F29"/>
    <w:rsid w:val="002A2F3A"/>
    <w:rsid w:val="002A2FFB"/>
    <w:rsid w:val="002A3044"/>
    <w:rsid w:val="002A33B7"/>
    <w:rsid w:val="002A33C5"/>
    <w:rsid w:val="002A3667"/>
    <w:rsid w:val="002A38C9"/>
    <w:rsid w:val="002A392A"/>
    <w:rsid w:val="002A3AFC"/>
    <w:rsid w:val="002A3D31"/>
    <w:rsid w:val="002A3F73"/>
    <w:rsid w:val="002A3FC6"/>
    <w:rsid w:val="002A407F"/>
    <w:rsid w:val="002A41EB"/>
    <w:rsid w:val="002A4324"/>
    <w:rsid w:val="002A4454"/>
    <w:rsid w:val="002A44E8"/>
    <w:rsid w:val="002A4882"/>
    <w:rsid w:val="002A497A"/>
    <w:rsid w:val="002A498A"/>
    <w:rsid w:val="002A4DF2"/>
    <w:rsid w:val="002A4F6A"/>
    <w:rsid w:val="002A503A"/>
    <w:rsid w:val="002A52DB"/>
    <w:rsid w:val="002A561D"/>
    <w:rsid w:val="002A57D6"/>
    <w:rsid w:val="002A5807"/>
    <w:rsid w:val="002A5A11"/>
    <w:rsid w:val="002A5DCD"/>
    <w:rsid w:val="002A5EAF"/>
    <w:rsid w:val="002A605F"/>
    <w:rsid w:val="002A60AA"/>
    <w:rsid w:val="002A62E2"/>
    <w:rsid w:val="002A644E"/>
    <w:rsid w:val="002A6482"/>
    <w:rsid w:val="002A6B48"/>
    <w:rsid w:val="002A6C1C"/>
    <w:rsid w:val="002A6D8E"/>
    <w:rsid w:val="002A6F12"/>
    <w:rsid w:val="002A7024"/>
    <w:rsid w:val="002A704D"/>
    <w:rsid w:val="002A70EB"/>
    <w:rsid w:val="002A70F5"/>
    <w:rsid w:val="002A713E"/>
    <w:rsid w:val="002A751B"/>
    <w:rsid w:val="002A7590"/>
    <w:rsid w:val="002A7594"/>
    <w:rsid w:val="002A75E7"/>
    <w:rsid w:val="002A7662"/>
    <w:rsid w:val="002A7874"/>
    <w:rsid w:val="002A78CC"/>
    <w:rsid w:val="002A796F"/>
    <w:rsid w:val="002A79C3"/>
    <w:rsid w:val="002A7A53"/>
    <w:rsid w:val="002A7E6A"/>
    <w:rsid w:val="002B034D"/>
    <w:rsid w:val="002B0430"/>
    <w:rsid w:val="002B04C9"/>
    <w:rsid w:val="002B064A"/>
    <w:rsid w:val="002B072F"/>
    <w:rsid w:val="002B0730"/>
    <w:rsid w:val="002B073F"/>
    <w:rsid w:val="002B074F"/>
    <w:rsid w:val="002B075C"/>
    <w:rsid w:val="002B084F"/>
    <w:rsid w:val="002B08D5"/>
    <w:rsid w:val="002B09F9"/>
    <w:rsid w:val="002B0A3E"/>
    <w:rsid w:val="002B0AD5"/>
    <w:rsid w:val="002B0AEC"/>
    <w:rsid w:val="002B0D96"/>
    <w:rsid w:val="002B11C0"/>
    <w:rsid w:val="002B1622"/>
    <w:rsid w:val="002B1662"/>
    <w:rsid w:val="002B1771"/>
    <w:rsid w:val="002B1D03"/>
    <w:rsid w:val="002B1D3C"/>
    <w:rsid w:val="002B1D68"/>
    <w:rsid w:val="002B1DFE"/>
    <w:rsid w:val="002B1E59"/>
    <w:rsid w:val="002B1E95"/>
    <w:rsid w:val="002B1F9E"/>
    <w:rsid w:val="002B20DE"/>
    <w:rsid w:val="002B258C"/>
    <w:rsid w:val="002B2601"/>
    <w:rsid w:val="002B268F"/>
    <w:rsid w:val="002B27FA"/>
    <w:rsid w:val="002B285E"/>
    <w:rsid w:val="002B2873"/>
    <w:rsid w:val="002B2916"/>
    <w:rsid w:val="002B293C"/>
    <w:rsid w:val="002B2CD5"/>
    <w:rsid w:val="002B2DCD"/>
    <w:rsid w:val="002B2E71"/>
    <w:rsid w:val="002B3001"/>
    <w:rsid w:val="002B31C4"/>
    <w:rsid w:val="002B328A"/>
    <w:rsid w:val="002B34EF"/>
    <w:rsid w:val="002B3608"/>
    <w:rsid w:val="002B3667"/>
    <w:rsid w:val="002B38D5"/>
    <w:rsid w:val="002B396B"/>
    <w:rsid w:val="002B399F"/>
    <w:rsid w:val="002B3B1F"/>
    <w:rsid w:val="002B3D11"/>
    <w:rsid w:val="002B3E34"/>
    <w:rsid w:val="002B3EA9"/>
    <w:rsid w:val="002B3FA9"/>
    <w:rsid w:val="002B4094"/>
    <w:rsid w:val="002B41AF"/>
    <w:rsid w:val="002B42DF"/>
    <w:rsid w:val="002B4647"/>
    <w:rsid w:val="002B4856"/>
    <w:rsid w:val="002B48B5"/>
    <w:rsid w:val="002B48C5"/>
    <w:rsid w:val="002B4B4C"/>
    <w:rsid w:val="002B4F14"/>
    <w:rsid w:val="002B4F1F"/>
    <w:rsid w:val="002B4F7E"/>
    <w:rsid w:val="002B4FC4"/>
    <w:rsid w:val="002B500A"/>
    <w:rsid w:val="002B50DD"/>
    <w:rsid w:val="002B5177"/>
    <w:rsid w:val="002B5398"/>
    <w:rsid w:val="002B54EB"/>
    <w:rsid w:val="002B5577"/>
    <w:rsid w:val="002B5634"/>
    <w:rsid w:val="002B5723"/>
    <w:rsid w:val="002B5743"/>
    <w:rsid w:val="002B58D9"/>
    <w:rsid w:val="002B5AB7"/>
    <w:rsid w:val="002B5B69"/>
    <w:rsid w:val="002B5BC3"/>
    <w:rsid w:val="002B5D3D"/>
    <w:rsid w:val="002B5F58"/>
    <w:rsid w:val="002B5F74"/>
    <w:rsid w:val="002B61EE"/>
    <w:rsid w:val="002B62BC"/>
    <w:rsid w:val="002B6421"/>
    <w:rsid w:val="002B6443"/>
    <w:rsid w:val="002B670C"/>
    <w:rsid w:val="002B6796"/>
    <w:rsid w:val="002B68CB"/>
    <w:rsid w:val="002B68EE"/>
    <w:rsid w:val="002B691F"/>
    <w:rsid w:val="002B6A66"/>
    <w:rsid w:val="002B6AE0"/>
    <w:rsid w:val="002B6B12"/>
    <w:rsid w:val="002B6C9C"/>
    <w:rsid w:val="002B6CED"/>
    <w:rsid w:val="002B6CFD"/>
    <w:rsid w:val="002B6EBE"/>
    <w:rsid w:val="002B709B"/>
    <w:rsid w:val="002B7246"/>
    <w:rsid w:val="002B725B"/>
    <w:rsid w:val="002B7405"/>
    <w:rsid w:val="002B74D5"/>
    <w:rsid w:val="002B77BD"/>
    <w:rsid w:val="002B787D"/>
    <w:rsid w:val="002B799D"/>
    <w:rsid w:val="002B79CA"/>
    <w:rsid w:val="002B79F2"/>
    <w:rsid w:val="002B7A9E"/>
    <w:rsid w:val="002B7AF7"/>
    <w:rsid w:val="002B7B54"/>
    <w:rsid w:val="002B7CA5"/>
    <w:rsid w:val="002B7FC3"/>
    <w:rsid w:val="002C0106"/>
    <w:rsid w:val="002C0255"/>
    <w:rsid w:val="002C02BB"/>
    <w:rsid w:val="002C030D"/>
    <w:rsid w:val="002C0463"/>
    <w:rsid w:val="002C079D"/>
    <w:rsid w:val="002C0810"/>
    <w:rsid w:val="002C08B6"/>
    <w:rsid w:val="002C08F4"/>
    <w:rsid w:val="002C0A09"/>
    <w:rsid w:val="002C0A3B"/>
    <w:rsid w:val="002C0AF3"/>
    <w:rsid w:val="002C0B3C"/>
    <w:rsid w:val="002C0B5D"/>
    <w:rsid w:val="002C0EA7"/>
    <w:rsid w:val="002C0ED9"/>
    <w:rsid w:val="002C0EED"/>
    <w:rsid w:val="002C0EEE"/>
    <w:rsid w:val="002C0F4C"/>
    <w:rsid w:val="002C0F65"/>
    <w:rsid w:val="002C10EF"/>
    <w:rsid w:val="002C11B7"/>
    <w:rsid w:val="002C132B"/>
    <w:rsid w:val="002C1349"/>
    <w:rsid w:val="002C16F6"/>
    <w:rsid w:val="002C17C1"/>
    <w:rsid w:val="002C1832"/>
    <w:rsid w:val="002C1930"/>
    <w:rsid w:val="002C1A0B"/>
    <w:rsid w:val="002C1B14"/>
    <w:rsid w:val="002C1F36"/>
    <w:rsid w:val="002C1FB2"/>
    <w:rsid w:val="002C1FFD"/>
    <w:rsid w:val="002C2059"/>
    <w:rsid w:val="002C2378"/>
    <w:rsid w:val="002C2731"/>
    <w:rsid w:val="002C27B3"/>
    <w:rsid w:val="002C2B14"/>
    <w:rsid w:val="002C2B36"/>
    <w:rsid w:val="002C2B6C"/>
    <w:rsid w:val="002C2B8D"/>
    <w:rsid w:val="002C2BA3"/>
    <w:rsid w:val="002C2BCC"/>
    <w:rsid w:val="002C2C61"/>
    <w:rsid w:val="002C2D79"/>
    <w:rsid w:val="002C2EC0"/>
    <w:rsid w:val="002C3013"/>
    <w:rsid w:val="002C302E"/>
    <w:rsid w:val="002C313A"/>
    <w:rsid w:val="002C3565"/>
    <w:rsid w:val="002C3799"/>
    <w:rsid w:val="002C384B"/>
    <w:rsid w:val="002C3863"/>
    <w:rsid w:val="002C38E4"/>
    <w:rsid w:val="002C3962"/>
    <w:rsid w:val="002C3A19"/>
    <w:rsid w:val="002C3B17"/>
    <w:rsid w:val="002C3E4C"/>
    <w:rsid w:val="002C3E58"/>
    <w:rsid w:val="002C3F51"/>
    <w:rsid w:val="002C4083"/>
    <w:rsid w:val="002C413C"/>
    <w:rsid w:val="002C4252"/>
    <w:rsid w:val="002C448B"/>
    <w:rsid w:val="002C454B"/>
    <w:rsid w:val="002C47CB"/>
    <w:rsid w:val="002C483E"/>
    <w:rsid w:val="002C4ADD"/>
    <w:rsid w:val="002C4DC7"/>
    <w:rsid w:val="002C4E5A"/>
    <w:rsid w:val="002C4E85"/>
    <w:rsid w:val="002C4EEB"/>
    <w:rsid w:val="002C50C6"/>
    <w:rsid w:val="002C523F"/>
    <w:rsid w:val="002C557E"/>
    <w:rsid w:val="002C5593"/>
    <w:rsid w:val="002C5615"/>
    <w:rsid w:val="002C57F4"/>
    <w:rsid w:val="002C5830"/>
    <w:rsid w:val="002C5937"/>
    <w:rsid w:val="002C5BC1"/>
    <w:rsid w:val="002C5C20"/>
    <w:rsid w:val="002C5E88"/>
    <w:rsid w:val="002C617E"/>
    <w:rsid w:val="002C61FA"/>
    <w:rsid w:val="002C63EB"/>
    <w:rsid w:val="002C63FB"/>
    <w:rsid w:val="002C64CE"/>
    <w:rsid w:val="002C677A"/>
    <w:rsid w:val="002C67A2"/>
    <w:rsid w:val="002C686F"/>
    <w:rsid w:val="002C6883"/>
    <w:rsid w:val="002C69FE"/>
    <w:rsid w:val="002C6C90"/>
    <w:rsid w:val="002C6D74"/>
    <w:rsid w:val="002C6F32"/>
    <w:rsid w:val="002C6F46"/>
    <w:rsid w:val="002C70A9"/>
    <w:rsid w:val="002C715B"/>
    <w:rsid w:val="002C7175"/>
    <w:rsid w:val="002C7401"/>
    <w:rsid w:val="002C76F2"/>
    <w:rsid w:val="002C7736"/>
    <w:rsid w:val="002C774A"/>
    <w:rsid w:val="002C7808"/>
    <w:rsid w:val="002C7BC5"/>
    <w:rsid w:val="002C7C03"/>
    <w:rsid w:val="002C7E8D"/>
    <w:rsid w:val="002D0146"/>
    <w:rsid w:val="002D0309"/>
    <w:rsid w:val="002D0389"/>
    <w:rsid w:val="002D03BC"/>
    <w:rsid w:val="002D082B"/>
    <w:rsid w:val="002D086D"/>
    <w:rsid w:val="002D08F1"/>
    <w:rsid w:val="002D0945"/>
    <w:rsid w:val="002D09DF"/>
    <w:rsid w:val="002D0A29"/>
    <w:rsid w:val="002D0D39"/>
    <w:rsid w:val="002D0ED5"/>
    <w:rsid w:val="002D0F59"/>
    <w:rsid w:val="002D11D1"/>
    <w:rsid w:val="002D1353"/>
    <w:rsid w:val="002D15A4"/>
    <w:rsid w:val="002D15E5"/>
    <w:rsid w:val="002D15F3"/>
    <w:rsid w:val="002D18AD"/>
    <w:rsid w:val="002D195F"/>
    <w:rsid w:val="002D1972"/>
    <w:rsid w:val="002D1A48"/>
    <w:rsid w:val="002D1A74"/>
    <w:rsid w:val="002D1BA5"/>
    <w:rsid w:val="002D1DDC"/>
    <w:rsid w:val="002D1E2B"/>
    <w:rsid w:val="002D1E3B"/>
    <w:rsid w:val="002D1EBD"/>
    <w:rsid w:val="002D2101"/>
    <w:rsid w:val="002D2190"/>
    <w:rsid w:val="002D21FB"/>
    <w:rsid w:val="002D2211"/>
    <w:rsid w:val="002D2253"/>
    <w:rsid w:val="002D23C6"/>
    <w:rsid w:val="002D2513"/>
    <w:rsid w:val="002D2690"/>
    <w:rsid w:val="002D26A1"/>
    <w:rsid w:val="002D281E"/>
    <w:rsid w:val="002D2838"/>
    <w:rsid w:val="002D2961"/>
    <w:rsid w:val="002D29A1"/>
    <w:rsid w:val="002D2A25"/>
    <w:rsid w:val="002D2A3E"/>
    <w:rsid w:val="002D2B5C"/>
    <w:rsid w:val="002D2BC0"/>
    <w:rsid w:val="002D2C19"/>
    <w:rsid w:val="002D2C21"/>
    <w:rsid w:val="002D2DE0"/>
    <w:rsid w:val="002D2EC0"/>
    <w:rsid w:val="002D2F77"/>
    <w:rsid w:val="002D329E"/>
    <w:rsid w:val="002D3397"/>
    <w:rsid w:val="002D3433"/>
    <w:rsid w:val="002D3619"/>
    <w:rsid w:val="002D365F"/>
    <w:rsid w:val="002D3708"/>
    <w:rsid w:val="002D37FD"/>
    <w:rsid w:val="002D39B6"/>
    <w:rsid w:val="002D3A62"/>
    <w:rsid w:val="002D3ACA"/>
    <w:rsid w:val="002D3B9D"/>
    <w:rsid w:val="002D3C84"/>
    <w:rsid w:val="002D3CEC"/>
    <w:rsid w:val="002D3D49"/>
    <w:rsid w:val="002D3EE9"/>
    <w:rsid w:val="002D43D9"/>
    <w:rsid w:val="002D4493"/>
    <w:rsid w:val="002D45A0"/>
    <w:rsid w:val="002D4856"/>
    <w:rsid w:val="002D48AA"/>
    <w:rsid w:val="002D4A65"/>
    <w:rsid w:val="002D4CCA"/>
    <w:rsid w:val="002D4DFB"/>
    <w:rsid w:val="002D4E37"/>
    <w:rsid w:val="002D4E6B"/>
    <w:rsid w:val="002D4E93"/>
    <w:rsid w:val="002D5078"/>
    <w:rsid w:val="002D50C5"/>
    <w:rsid w:val="002D515F"/>
    <w:rsid w:val="002D522E"/>
    <w:rsid w:val="002D561C"/>
    <w:rsid w:val="002D5709"/>
    <w:rsid w:val="002D58CB"/>
    <w:rsid w:val="002D58DA"/>
    <w:rsid w:val="002D59E0"/>
    <w:rsid w:val="002D5AA3"/>
    <w:rsid w:val="002D5AF7"/>
    <w:rsid w:val="002D5CDD"/>
    <w:rsid w:val="002D5D1D"/>
    <w:rsid w:val="002D5D4F"/>
    <w:rsid w:val="002D5DC3"/>
    <w:rsid w:val="002D5DFA"/>
    <w:rsid w:val="002D5F2D"/>
    <w:rsid w:val="002D603C"/>
    <w:rsid w:val="002D6308"/>
    <w:rsid w:val="002D6442"/>
    <w:rsid w:val="002D6627"/>
    <w:rsid w:val="002D6899"/>
    <w:rsid w:val="002D6AAC"/>
    <w:rsid w:val="002D6B8B"/>
    <w:rsid w:val="002D6EA6"/>
    <w:rsid w:val="002D720A"/>
    <w:rsid w:val="002D720B"/>
    <w:rsid w:val="002D743A"/>
    <w:rsid w:val="002D78D4"/>
    <w:rsid w:val="002D7A4E"/>
    <w:rsid w:val="002D7A73"/>
    <w:rsid w:val="002D7A89"/>
    <w:rsid w:val="002D7B60"/>
    <w:rsid w:val="002D7CD6"/>
    <w:rsid w:val="002E005F"/>
    <w:rsid w:val="002E0119"/>
    <w:rsid w:val="002E0155"/>
    <w:rsid w:val="002E01A2"/>
    <w:rsid w:val="002E01D0"/>
    <w:rsid w:val="002E0352"/>
    <w:rsid w:val="002E04DF"/>
    <w:rsid w:val="002E05B5"/>
    <w:rsid w:val="002E06A8"/>
    <w:rsid w:val="002E0763"/>
    <w:rsid w:val="002E09E5"/>
    <w:rsid w:val="002E0A30"/>
    <w:rsid w:val="002E0A7B"/>
    <w:rsid w:val="002E0B61"/>
    <w:rsid w:val="002E0C86"/>
    <w:rsid w:val="002E0EBF"/>
    <w:rsid w:val="002E0FDC"/>
    <w:rsid w:val="002E1225"/>
    <w:rsid w:val="002E127D"/>
    <w:rsid w:val="002E12A2"/>
    <w:rsid w:val="002E12A8"/>
    <w:rsid w:val="002E12FD"/>
    <w:rsid w:val="002E14AB"/>
    <w:rsid w:val="002E15B7"/>
    <w:rsid w:val="002E15CD"/>
    <w:rsid w:val="002E1730"/>
    <w:rsid w:val="002E1846"/>
    <w:rsid w:val="002E1A4F"/>
    <w:rsid w:val="002E1ACE"/>
    <w:rsid w:val="002E1B7E"/>
    <w:rsid w:val="002E1BA2"/>
    <w:rsid w:val="002E215B"/>
    <w:rsid w:val="002E21B6"/>
    <w:rsid w:val="002E2201"/>
    <w:rsid w:val="002E2203"/>
    <w:rsid w:val="002E22A1"/>
    <w:rsid w:val="002E2316"/>
    <w:rsid w:val="002E2639"/>
    <w:rsid w:val="002E2750"/>
    <w:rsid w:val="002E28E9"/>
    <w:rsid w:val="002E2A7D"/>
    <w:rsid w:val="002E2B2D"/>
    <w:rsid w:val="002E2B6B"/>
    <w:rsid w:val="002E2E66"/>
    <w:rsid w:val="002E2F31"/>
    <w:rsid w:val="002E318E"/>
    <w:rsid w:val="002E31C6"/>
    <w:rsid w:val="002E3239"/>
    <w:rsid w:val="002E33A7"/>
    <w:rsid w:val="002E3564"/>
    <w:rsid w:val="002E3570"/>
    <w:rsid w:val="002E3581"/>
    <w:rsid w:val="002E36B7"/>
    <w:rsid w:val="002E3762"/>
    <w:rsid w:val="002E37F6"/>
    <w:rsid w:val="002E38D1"/>
    <w:rsid w:val="002E39D8"/>
    <w:rsid w:val="002E3C60"/>
    <w:rsid w:val="002E3EFF"/>
    <w:rsid w:val="002E4010"/>
    <w:rsid w:val="002E418D"/>
    <w:rsid w:val="002E41D8"/>
    <w:rsid w:val="002E4366"/>
    <w:rsid w:val="002E438D"/>
    <w:rsid w:val="002E44E5"/>
    <w:rsid w:val="002E45FF"/>
    <w:rsid w:val="002E483B"/>
    <w:rsid w:val="002E48B5"/>
    <w:rsid w:val="002E48C7"/>
    <w:rsid w:val="002E4987"/>
    <w:rsid w:val="002E4B4F"/>
    <w:rsid w:val="002E4D5C"/>
    <w:rsid w:val="002E4E2B"/>
    <w:rsid w:val="002E4F5D"/>
    <w:rsid w:val="002E5123"/>
    <w:rsid w:val="002E52C4"/>
    <w:rsid w:val="002E55DD"/>
    <w:rsid w:val="002E55E6"/>
    <w:rsid w:val="002E565E"/>
    <w:rsid w:val="002E581A"/>
    <w:rsid w:val="002E5A01"/>
    <w:rsid w:val="002E5C3F"/>
    <w:rsid w:val="002E5CCB"/>
    <w:rsid w:val="002E6181"/>
    <w:rsid w:val="002E6405"/>
    <w:rsid w:val="002E6431"/>
    <w:rsid w:val="002E68A2"/>
    <w:rsid w:val="002E68A3"/>
    <w:rsid w:val="002E68DC"/>
    <w:rsid w:val="002E6908"/>
    <w:rsid w:val="002E6DCE"/>
    <w:rsid w:val="002E6E19"/>
    <w:rsid w:val="002E7135"/>
    <w:rsid w:val="002E7151"/>
    <w:rsid w:val="002E728F"/>
    <w:rsid w:val="002E7466"/>
    <w:rsid w:val="002E746E"/>
    <w:rsid w:val="002E75DF"/>
    <w:rsid w:val="002E78A6"/>
    <w:rsid w:val="002E7A2A"/>
    <w:rsid w:val="002E7B24"/>
    <w:rsid w:val="002E7BEA"/>
    <w:rsid w:val="002E7DCD"/>
    <w:rsid w:val="002F0021"/>
    <w:rsid w:val="002F0285"/>
    <w:rsid w:val="002F03FB"/>
    <w:rsid w:val="002F055B"/>
    <w:rsid w:val="002F08CA"/>
    <w:rsid w:val="002F0A97"/>
    <w:rsid w:val="002F0C27"/>
    <w:rsid w:val="002F0CD4"/>
    <w:rsid w:val="002F10EF"/>
    <w:rsid w:val="002F144E"/>
    <w:rsid w:val="002F15B1"/>
    <w:rsid w:val="002F170E"/>
    <w:rsid w:val="002F19CB"/>
    <w:rsid w:val="002F19D4"/>
    <w:rsid w:val="002F1FDF"/>
    <w:rsid w:val="002F2100"/>
    <w:rsid w:val="002F23B6"/>
    <w:rsid w:val="002F23C8"/>
    <w:rsid w:val="002F243F"/>
    <w:rsid w:val="002F25FF"/>
    <w:rsid w:val="002F2649"/>
    <w:rsid w:val="002F265C"/>
    <w:rsid w:val="002F27D4"/>
    <w:rsid w:val="002F28D4"/>
    <w:rsid w:val="002F29CA"/>
    <w:rsid w:val="002F2AB6"/>
    <w:rsid w:val="002F2D35"/>
    <w:rsid w:val="002F2D4E"/>
    <w:rsid w:val="002F30F9"/>
    <w:rsid w:val="002F310E"/>
    <w:rsid w:val="002F315E"/>
    <w:rsid w:val="002F320E"/>
    <w:rsid w:val="002F330B"/>
    <w:rsid w:val="002F3619"/>
    <w:rsid w:val="002F362A"/>
    <w:rsid w:val="002F3739"/>
    <w:rsid w:val="002F37CE"/>
    <w:rsid w:val="002F38D0"/>
    <w:rsid w:val="002F3A9B"/>
    <w:rsid w:val="002F3C06"/>
    <w:rsid w:val="002F3DC9"/>
    <w:rsid w:val="002F3DDD"/>
    <w:rsid w:val="002F3EC5"/>
    <w:rsid w:val="002F3F56"/>
    <w:rsid w:val="002F3FDA"/>
    <w:rsid w:val="002F40A8"/>
    <w:rsid w:val="002F4239"/>
    <w:rsid w:val="002F4282"/>
    <w:rsid w:val="002F44AB"/>
    <w:rsid w:val="002F44F3"/>
    <w:rsid w:val="002F463C"/>
    <w:rsid w:val="002F4CBC"/>
    <w:rsid w:val="002F4CBD"/>
    <w:rsid w:val="002F4FD2"/>
    <w:rsid w:val="002F5034"/>
    <w:rsid w:val="002F512E"/>
    <w:rsid w:val="002F5250"/>
    <w:rsid w:val="002F56EB"/>
    <w:rsid w:val="002F5755"/>
    <w:rsid w:val="002F59BC"/>
    <w:rsid w:val="002F5A90"/>
    <w:rsid w:val="002F5CB0"/>
    <w:rsid w:val="002F5DDF"/>
    <w:rsid w:val="002F5E3B"/>
    <w:rsid w:val="002F5E8B"/>
    <w:rsid w:val="002F5F4D"/>
    <w:rsid w:val="002F5FD5"/>
    <w:rsid w:val="002F619D"/>
    <w:rsid w:val="002F6368"/>
    <w:rsid w:val="002F6398"/>
    <w:rsid w:val="002F6514"/>
    <w:rsid w:val="002F659C"/>
    <w:rsid w:val="002F65E0"/>
    <w:rsid w:val="002F6809"/>
    <w:rsid w:val="002F691D"/>
    <w:rsid w:val="002F6954"/>
    <w:rsid w:val="002F6978"/>
    <w:rsid w:val="002F69D1"/>
    <w:rsid w:val="002F6AA0"/>
    <w:rsid w:val="002F6C1E"/>
    <w:rsid w:val="002F6D04"/>
    <w:rsid w:val="002F6D7B"/>
    <w:rsid w:val="002F721B"/>
    <w:rsid w:val="002F72C3"/>
    <w:rsid w:val="002F7332"/>
    <w:rsid w:val="002F749A"/>
    <w:rsid w:val="002F7536"/>
    <w:rsid w:val="002F7537"/>
    <w:rsid w:val="002F7552"/>
    <w:rsid w:val="002F76BE"/>
    <w:rsid w:val="002F79DB"/>
    <w:rsid w:val="002F7C66"/>
    <w:rsid w:val="002F7E07"/>
    <w:rsid w:val="002F7EEC"/>
    <w:rsid w:val="0030012A"/>
    <w:rsid w:val="003001DF"/>
    <w:rsid w:val="00300335"/>
    <w:rsid w:val="00300339"/>
    <w:rsid w:val="00300381"/>
    <w:rsid w:val="00300424"/>
    <w:rsid w:val="003004A3"/>
    <w:rsid w:val="003007DC"/>
    <w:rsid w:val="00300991"/>
    <w:rsid w:val="00300A3F"/>
    <w:rsid w:val="00300BD5"/>
    <w:rsid w:val="00300C4C"/>
    <w:rsid w:val="00300E23"/>
    <w:rsid w:val="003010F9"/>
    <w:rsid w:val="003011D7"/>
    <w:rsid w:val="003011F0"/>
    <w:rsid w:val="0030128D"/>
    <w:rsid w:val="00301334"/>
    <w:rsid w:val="00301397"/>
    <w:rsid w:val="00301530"/>
    <w:rsid w:val="00301533"/>
    <w:rsid w:val="00301B3F"/>
    <w:rsid w:val="00301D48"/>
    <w:rsid w:val="00301E61"/>
    <w:rsid w:val="00301F03"/>
    <w:rsid w:val="00301F51"/>
    <w:rsid w:val="0030209C"/>
    <w:rsid w:val="0030226D"/>
    <w:rsid w:val="0030230F"/>
    <w:rsid w:val="00302344"/>
    <w:rsid w:val="00302513"/>
    <w:rsid w:val="0030257B"/>
    <w:rsid w:val="0030272F"/>
    <w:rsid w:val="003027B2"/>
    <w:rsid w:val="00302900"/>
    <w:rsid w:val="0030293E"/>
    <w:rsid w:val="00302996"/>
    <w:rsid w:val="003029AA"/>
    <w:rsid w:val="003029C2"/>
    <w:rsid w:val="00302B27"/>
    <w:rsid w:val="00302BD4"/>
    <w:rsid w:val="00302BEE"/>
    <w:rsid w:val="00302CE9"/>
    <w:rsid w:val="00302E75"/>
    <w:rsid w:val="00302FAE"/>
    <w:rsid w:val="0030301E"/>
    <w:rsid w:val="00303035"/>
    <w:rsid w:val="00303193"/>
    <w:rsid w:val="003031CB"/>
    <w:rsid w:val="00303328"/>
    <w:rsid w:val="00303432"/>
    <w:rsid w:val="003034D3"/>
    <w:rsid w:val="003035C1"/>
    <w:rsid w:val="003036D1"/>
    <w:rsid w:val="003037AD"/>
    <w:rsid w:val="00303862"/>
    <w:rsid w:val="0030388C"/>
    <w:rsid w:val="00303966"/>
    <w:rsid w:val="003039F8"/>
    <w:rsid w:val="00303A6F"/>
    <w:rsid w:val="00303AAD"/>
    <w:rsid w:val="00303C5D"/>
    <w:rsid w:val="00303D45"/>
    <w:rsid w:val="00303E80"/>
    <w:rsid w:val="00303FC2"/>
    <w:rsid w:val="00303FD3"/>
    <w:rsid w:val="0030417D"/>
    <w:rsid w:val="0030419A"/>
    <w:rsid w:val="00304268"/>
    <w:rsid w:val="003044B0"/>
    <w:rsid w:val="00304534"/>
    <w:rsid w:val="00304802"/>
    <w:rsid w:val="0030481B"/>
    <w:rsid w:val="00304832"/>
    <w:rsid w:val="00304887"/>
    <w:rsid w:val="0030488C"/>
    <w:rsid w:val="003049FA"/>
    <w:rsid w:val="00304A63"/>
    <w:rsid w:val="00304ABE"/>
    <w:rsid w:val="00304D30"/>
    <w:rsid w:val="00304E4E"/>
    <w:rsid w:val="00304F20"/>
    <w:rsid w:val="00304FB9"/>
    <w:rsid w:val="003050FD"/>
    <w:rsid w:val="0030519C"/>
    <w:rsid w:val="003051C1"/>
    <w:rsid w:val="00305323"/>
    <w:rsid w:val="00305334"/>
    <w:rsid w:val="00305521"/>
    <w:rsid w:val="003055B6"/>
    <w:rsid w:val="003055F3"/>
    <w:rsid w:val="00305631"/>
    <w:rsid w:val="00305701"/>
    <w:rsid w:val="00305722"/>
    <w:rsid w:val="003058B7"/>
    <w:rsid w:val="003058CB"/>
    <w:rsid w:val="0030596C"/>
    <w:rsid w:val="00305C3D"/>
    <w:rsid w:val="00305EEE"/>
    <w:rsid w:val="00306040"/>
    <w:rsid w:val="003060BE"/>
    <w:rsid w:val="00306273"/>
    <w:rsid w:val="003062CD"/>
    <w:rsid w:val="00306447"/>
    <w:rsid w:val="003064B7"/>
    <w:rsid w:val="003064DB"/>
    <w:rsid w:val="00306594"/>
    <w:rsid w:val="00306687"/>
    <w:rsid w:val="003066B2"/>
    <w:rsid w:val="0030686A"/>
    <w:rsid w:val="003068B3"/>
    <w:rsid w:val="003068E4"/>
    <w:rsid w:val="00306A06"/>
    <w:rsid w:val="00306A41"/>
    <w:rsid w:val="00306A64"/>
    <w:rsid w:val="00306D23"/>
    <w:rsid w:val="0030710B"/>
    <w:rsid w:val="0030714A"/>
    <w:rsid w:val="00307223"/>
    <w:rsid w:val="003072D0"/>
    <w:rsid w:val="0030759D"/>
    <w:rsid w:val="003076FC"/>
    <w:rsid w:val="00307C2A"/>
    <w:rsid w:val="00307CE4"/>
    <w:rsid w:val="00307E23"/>
    <w:rsid w:val="00307E49"/>
    <w:rsid w:val="00310107"/>
    <w:rsid w:val="003102CA"/>
    <w:rsid w:val="00310693"/>
    <w:rsid w:val="003106AE"/>
    <w:rsid w:val="003106BC"/>
    <w:rsid w:val="0031073D"/>
    <w:rsid w:val="00310777"/>
    <w:rsid w:val="0031097D"/>
    <w:rsid w:val="00310A20"/>
    <w:rsid w:val="00310C04"/>
    <w:rsid w:val="00310F81"/>
    <w:rsid w:val="00311545"/>
    <w:rsid w:val="00311571"/>
    <w:rsid w:val="00311868"/>
    <w:rsid w:val="003119CA"/>
    <w:rsid w:val="00311A74"/>
    <w:rsid w:val="00311C07"/>
    <w:rsid w:val="00311D63"/>
    <w:rsid w:val="00311DC4"/>
    <w:rsid w:val="00311F2A"/>
    <w:rsid w:val="00311F3C"/>
    <w:rsid w:val="00311FB7"/>
    <w:rsid w:val="00312127"/>
    <w:rsid w:val="003121DE"/>
    <w:rsid w:val="003121F5"/>
    <w:rsid w:val="0031233A"/>
    <w:rsid w:val="003124BA"/>
    <w:rsid w:val="0031257C"/>
    <w:rsid w:val="00312604"/>
    <w:rsid w:val="00312653"/>
    <w:rsid w:val="0031267C"/>
    <w:rsid w:val="003128D3"/>
    <w:rsid w:val="00312942"/>
    <w:rsid w:val="00312B21"/>
    <w:rsid w:val="00312BCD"/>
    <w:rsid w:val="00312C40"/>
    <w:rsid w:val="00312EC8"/>
    <w:rsid w:val="0031308C"/>
    <w:rsid w:val="003130B5"/>
    <w:rsid w:val="0031331E"/>
    <w:rsid w:val="00313507"/>
    <w:rsid w:val="003139EA"/>
    <w:rsid w:val="00313A63"/>
    <w:rsid w:val="00313DA9"/>
    <w:rsid w:val="00313DD0"/>
    <w:rsid w:val="00313F6F"/>
    <w:rsid w:val="00314034"/>
    <w:rsid w:val="0031436E"/>
    <w:rsid w:val="00314417"/>
    <w:rsid w:val="003145A3"/>
    <w:rsid w:val="00314895"/>
    <w:rsid w:val="003148E4"/>
    <w:rsid w:val="0031499C"/>
    <w:rsid w:val="003149D6"/>
    <w:rsid w:val="00314B10"/>
    <w:rsid w:val="00314C78"/>
    <w:rsid w:val="00314E54"/>
    <w:rsid w:val="00314E79"/>
    <w:rsid w:val="00314F46"/>
    <w:rsid w:val="00314F54"/>
    <w:rsid w:val="00315000"/>
    <w:rsid w:val="00315261"/>
    <w:rsid w:val="003152F7"/>
    <w:rsid w:val="00315301"/>
    <w:rsid w:val="003153A6"/>
    <w:rsid w:val="0031547C"/>
    <w:rsid w:val="003157EB"/>
    <w:rsid w:val="003159E2"/>
    <w:rsid w:val="00315A54"/>
    <w:rsid w:val="00315AD0"/>
    <w:rsid w:val="00315ADA"/>
    <w:rsid w:val="00315AE5"/>
    <w:rsid w:val="00315CF0"/>
    <w:rsid w:val="00316075"/>
    <w:rsid w:val="003160B9"/>
    <w:rsid w:val="003161F1"/>
    <w:rsid w:val="00316211"/>
    <w:rsid w:val="00316241"/>
    <w:rsid w:val="003164DD"/>
    <w:rsid w:val="0031650C"/>
    <w:rsid w:val="003166C4"/>
    <w:rsid w:val="00316792"/>
    <w:rsid w:val="003168C2"/>
    <w:rsid w:val="003169FB"/>
    <w:rsid w:val="00316C9F"/>
    <w:rsid w:val="00316D4F"/>
    <w:rsid w:val="00316E4E"/>
    <w:rsid w:val="00316FEF"/>
    <w:rsid w:val="00317173"/>
    <w:rsid w:val="00317417"/>
    <w:rsid w:val="003174F9"/>
    <w:rsid w:val="0031752D"/>
    <w:rsid w:val="00317545"/>
    <w:rsid w:val="0031793B"/>
    <w:rsid w:val="00317C0D"/>
    <w:rsid w:val="00317D13"/>
    <w:rsid w:val="00317DCE"/>
    <w:rsid w:val="00317E53"/>
    <w:rsid w:val="00317ECB"/>
    <w:rsid w:val="00317F59"/>
    <w:rsid w:val="00317FC8"/>
    <w:rsid w:val="00317FE1"/>
    <w:rsid w:val="0032004C"/>
    <w:rsid w:val="0032005A"/>
    <w:rsid w:val="0032009D"/>
    <w:rsid w:val="003201A2"/>
    <w:rsid w:val="0032029E"/>
    <w:rsid w:val="00320483"/>
    <w:rsid w:val="003205CF"/>
    <w:rsid w:val="003205F3"/>
    <w:rsid w:val="00320939"/>
    <w:rsid w:val="00320973"/>
    <w:rsid w:val="0032097F"/>
    <w:rsid w:val="00320A2D"/>
    <w:rsid w:val="00320AAE"/>
    <w:rsid w:val="00320B49"/>
    <w:rsid w:val="00320C1D"/>
    <w:rsid w:val="00320CA3"/>
    <w:rsid w:val="00320FBE"/>
    <w:rsid w:val="00321004"/>
    <w:rsid w:val="0032103A"/>
    <w:rsid w:val="0032122B"/>
    <w:rsid w:val="00321342"/>
    <w:rsid w:val="00321655"/>
    <w:rsid w:val="00321878"/>
    <w:rsid w:val="003218DA"/>
    <w:rsid w:val="00321921"/>
    <w:rsid w:val="00321AA0"/>
    <w:rsid w:val="00321B13"/>
    <w:rsid w:val="00321D6D"/>
    <w:rsid w:val="003220B8"/>
    <w:rsid w:val="00322112"/>
    <w:rsid w:val="0032225E"/>
    <w:rsid w:val="003223DF"/>
    <w:rsid w:val="0032263F"/>
    <w:rsid w:val="003229AB"/>
    <w:rsid w:val="003229DC"/>
    <w:rsid w:val="00322F23"/>
    <w:rsid w:val="00323004"/>
    <w:rsid w:val="003230D7"/>
    <w:rsid w:val="003230ED"/>
    <w:rsid w:val="003233BD"/>
    <w:rsid w:val="00323471"/>
    <w:rsid w:val="0032353D"/>
    <w:rsid w:val="00323592"/>
    <w:rsid w:val="003236BF"/>
    <w:rsid w:val="00323966"/>
    <w:rsid w:val="00323B30"/>
    <w:rsid w:val="00323BFB"/>
    <w:rsid w:val="00323C7D"/>
    <w:rsid w:val="00323C99"/>
    <w:rsid w:val="00323D98"/>
    <w:rsid w:val="00323F4D"/>
    <w:rsid w:val="003240B8"/>
    <w:rsid w:val="0032417D"/>
    <w:rsid w:val="0032439C"/>
    <w:rsid w:val="00324463"/>
    <w:rsid w:val="0032455A"/>
    <w:rsid w:val="003245B7"/>
    <w:rsid w:val="003245F4"/>
    <w:rsid w:val="00324618"/>
    <w:rsid w:val="00324A34"/>
    <w:rsid w:val="00324BFA"/>
    <w:rsid w:val="00324CCB"/>
    <w:rsid w:val="00324EB8"/>
    <w:rsid w:val="003251FE"/>
    <w:rsid w:val="00325553"/>
    <w:rsid w:val="00325601"/>
    <w:rsid w:val="00325666"/>
    <w:rsid w:val="00325A0C"/>
    <w:rsid w:val="00325A4A"/>
    <w:rsid w:val="00325C32"/>
    <w:rsid w:val="00325C4B"/>
    <w:rsid w:val="00325C51"/>
    <w:rsid w:val="00325CE6"/>
    <w:rsid w:val="00325F5A"/>
    <w:rsid w:val="00326330"/>
    <w:rsid w:val="0032634E"/>
    <w:rsid w:val="00326359"/>
    <w:rsid w:val="00326360"/>
    <w:rsid w:val="0032636B"/>
    <w:rsid w:val="003263C7"/>
    <w:rsid w:val="00326541"/>
    <w:rsid w:val="00326654"/>
    <w:rsid w:val="0032691A"/>
    <w:rsid w:val="00326978"/>
    <w:rsid w:val="00326A6F"/>
    <w:rsid w:val="00326AF7"/>
    <w:rsid w:val="00326E26"/>
    <w:rsid w:val="00326E93"/>
    <w:rsid w:val="00326EC7"/>
    <w:rsid w:val="00327136"/>
    <w:rsid w:val="003272B9"/>
    <w:rsid w:val="003272DC"/>
    <w:rsid w:val="003273DF"/>
    <w:rsid w:val="003274DF"/>
    <w:rsid w:val="00327884"/>
    <w:rsid w:val="00327B0B"/>
    <w:rsid w:val="00327B1B"/>
    <w:rsid w:val="00327BE0"/>
    <w:rsid w:val="00327DE4"/>
    <w:rsid w:val="00327FD1"/>
    <w:rsid w:val="003300A7"/>
    <w:rsid w:val="00330345"/>
    <w:rsid w:val="0033041D"/>
    <w:rsid w:val="00330464"/>
    <w:rsid w:val="00330531"/>
    <w:rsid w:val="003305BA"/>
    <w:rsid w:val="0033095C"/>
    <w:rsid w:val="003309A3"/>
    <w:rsid w:val="00330A11"/>
    <w:rsid w:val="00330A6A"/>
    <w:rsid w:val="00330AF3"/>
    <w:rsid w:val="00330CB6"/>
    <w:rsid w:val="00330D2B"/>
    <w:rsid w:val="00330D5F"/>
    <w:rsid w:val="00330E06"/>
    <w:rsid w:val="003312F7"/>
    <w:rsid w:val="00331419"/>
    <w:rsid w:val="00331423"/>
    <w:rsid w:val="003314FF"/>
    <w:rsid w:val="0033166C"/>
    <w:rsid w:val="003316C0"/>
    <w:rsid w:val="00331795"/>
    <w:rsid w:val="003317E4"/>
    <w:rsid w:val="00331884"/>
    <w:rsid w:val="0033196D"/>
    <w:rsid w:val="00331C10"/>
    <w:rsid w:val="00331C2A"/>
    <w:rsid w:val="00331CC6"/>
    <w:rsid w:val="00331D8C"/>
    <w:rsid w:val="00331F9A"/>
    <w:rsid w:val="0033209D"/>
    <w:rsid w:val="003320E5"/>
    <w:rsid w:val="00332269"/>
    <w:rsid w:val="0033244D"/>
    <w:rsid w:val="003325D2"/>
    <w:rsid w:val="00332601"/>
    <w:rsid w:val="003329C8"/>
    <w:rsid w:val="00332C3A"/>
    <w:rsid w:val="00332DDE"/>
    <w:rsid w:val="00332E49"/>
    <w:rsid w:val="00332EFC"/>
    <w:rsid w:val="00332FE9"/>
    <w:rsid w:val="0033303E"/>
    <w:rsid w:val="00333051"/>
    <w:rsid w:val="0033317E"/>
    <w:rsid w:val="003331AD"/>
    <w:rsid w:val="003332EE"/>
    <w:rsid w:val="00333368"/>
    <w:rsid w:val="00333417"/>
    <w:rsid w:val="0033352D"/>
    <w:rsid w:val="003335E9"/>
    <w:rsid w:val="00333643"/>
    <w:rsid w:val="00333739"/>
    <w:rsid w:val="0033373C"/>
    <w:rsid w:val="0033373D"/>
    <w:rsid w:val="0033378A"/>
    <w:rsid w:val="0033382D"/>
    <w:rsid w:val="00333A23"/>
    <w:rsid w:val="00333A70"/>
    <w:rsid w:val="00333CCB"/>
    <w:rsid w:val="00333E54"/>
    <w:rsid w:val="00333EB3"/>
    <w:rsid w:val="00333ED3"/>
    <w:rsid w:val="00333F1B"/>
    <w:rsid w:val="00333F25"/>
    <w:rsid w:val="00333FA2"/>
    <w:rsid w:val="0033439C"/>
    <w:rsid w:val="003343C5"/>
    <w:rsid w:val="003343E3"/>
    <w:rsid w:val="00334539"/>
    <w:rsid w:val="00334540"/>
    <w:rsid w:val="00334634"/>
    <w:rsid w:val="0033468F"/>
    <w:rsid w:val="003348A2"/>
    <w:rsid w:val="00334929"/>
    <w:rsid w:val="003349C2"/>
    <w:rsid w:val="00334CDB"/>
    <w:rsid w:val="00334E72"/>
    <w:rsid w:val="00334F42"/>
    <w:rsid w:val="00335062"/>
    <w:rsid w:val="00335135"/>
    <w:rsid w:val="0033517B"/>
    <w:rsid w:val="003351F1"/>
    <w:rsid w:val="003352A1"/>
    <w:rsid w:val="00335404"/>
    <w:rsid w:val="003354D2"/>
    <w:rsid w:val="0033570D"/>
    <w:rsid w:val="00335914"/>
    <w:rsid w:val="00335BDD"/>
    <w:rsid w:val="00335E17"/>
    <w:rsid w:val="003360D7"/>
    <w:rsid w:val="00336136"/>
    <w:rsid w:val="0033618F"/>
    <w:rsid w:val="00336313"/>
    <w:rsid w:val="003364AD"/>
    <w:rsid w:val="00336552"/>
    <w:rsid w:val="003366C3"/>
    <w:rsid w:val="0033688C"/>
    <w:rsid w:val="003368B9"/>
    <w:rsid w:val="0033695F"/>
    <w:rsid w:val="00336B29"/>
    <w:rsid w:val="00336D5B"/>
    <w:rsid w:val="00336DFD"/>
    <w:rsid w:val="00336F14"/>
    <w:rsid w:val="00336FDC"/>
    <w:rsid w:val="00337055"/>
    <w:rsid w:val="00337147"/>
    <w:rsid w:val="00337156"/>
    <w:rsid w:val="00337224"/>
    <w:rsid w:val="00337671"/>
    <w:rsid w:val="0033777D"/>
    <w:rsid w:val="003378A4"/>
    <w:rsid w:val="00337A28"/>
    <w:rsid w:val="00337A36"/>
    <w:rsid w:val="00337CB9"/>
    <w:rsid w:val="00337CD2"/>
    <w:rsid w:val="00337E16"/>
    <w:rsid w:val="00337F24"/>
    <w:rsid w:val="00337FF6"/>
    <w:rsid w:val="00340048"/>
    <w:rsid w:val="00340087"/>
    <w:rsid w:val="003400C1"/>
    <w:rsid w:val="003402ED"/>
    <w:rsid w:val="0034049A"/>
    <w:rsid w:val="003406C4"/>
    <w:rsid w:val="003406DA"/>
    <w:rsid w:val="00340A5D"/>
    <w:rsid w:val="00340C17"/>
    <w:rsid w:val="00340E02"/>
    <w:rsid w:val="0034119E"/>
    <w:rsid w:val="0034137C"/>
    <w:rsid w:val="00341623"/>
    <w:rsid w:val="00341665"/>
    <w:rsid w:val="00341922"/>
    <w:rsid w:val="00341ADF"/>
    <w:rsid w:val="00341C07"/>
    <w:rsid w:val="00341CAF"/>
    <w:rsid w:val="00341CC2"/>
    <w:rsid w:val="00341D3E"/>
    <w:rsid w:val="00341D66"/>
    <w:rsid w:val="00341DC8"/>
    <w:rsid w:val="00341F8B"/>
    <w:rsid w:val="00341FE3"/>
    <w:rsid w:val="00342272"/>
    <w:rsid w:val="003422A5"/>
    <w:rsid w:val="00342303"/>
    <w:rsid w:val="003423DF"/>
    <w:rsid w:val="0034245C"/>
    <w:rsid w:val="003424D9"/>
    <w:rsid w:val="003426B6"/>
    <w:rsid w:val="00342719"/>
    <w:rsid w:val="00342A67"/>
    <w:rsid w:val="00342A97"/>
    <w:rsid w:val="00342B3C"/>
    <w:rsid w:val="00342C72"/>
    <w:rsid w:val="00342C96"/>
    <w:rsid w:val="00342CD6"/>
    <w:rsid w:val="00342E46"/>
    <w:rsid w:val="00342EC4"/>
    <w:rsid w:val="00342F85"/>
    <w:rsid w:val="00342FF1"/>
    <w:rsid w:val="00342FFC"/>
    <w:rsid w:val="00343130"/>
    <w:rsid w:val="0034321F"/>
    <w:rsid w:val="00343260"/>
    <w:rsid w:val="0034326A"/>
    <w:rsid w:val="00343366"/>
    <w:rsid w:val="00343415"/>
    <w:rsid w:val="003435D0"/>
    <w:rsid w:val="00343956"/>
    <w:rsid w:val="003439D5"/>
    <w:rsid w:val="00343A23"/>
    <w:rsid w:val="00343C82"/>
    <w:rsid w:val="00343C87"/>
    <w:rsid w:val="00343CB4"/>
    <w:rsid w:val="00343DD4"/>
    <w:rsid w:val="00343E2E"/>
    <w:rsid w:val="00343F2D"/>
    <w:rsid w:val="00343F6B"/>
    <w:rsid w:val="00343FBB"/>
    <w:rsid w:val="0034402F"/>
    <w:rsid w:val="003440F8"/>
    <w:rsid w:val="00344254"/>
    <w:rsid w:val="0034428E"/>
    <w:rsid w:val="0034428F"/>
    <w:rsid w:val="00344460"/>
    <w:rsid w:val="003446F6"/>
    <w:rsid w:val="00344784"/>
    <w:rsid w:val="00344A84"/>
    <w:rsid w:val="00344ADE"/>
    <w:rsid w:val="00344AE9"/>
    <w:rsid w:val="00344B2E"/>
    <w:rsid w:val="00344E59"/>
    <w:rsid w:val="00344E69"/>
    <w:rsid w:val="00344EC4"/>
    <w:rsid w:val="00344F61"/>
    <w:rsid w:val="00345085"/>
    <w:rsid w:val="0034509C"/>
    <w:rsid w:val="00345114"/>
    <w:rsid w:val="0034511B"/>
    <w:rsid w:val="00345342"/>
    <w:rsid w:val="00345418"/>
    <w:rsid w:val="003454D0"/>
    <w:rsid w:val="0034590E"/>
    <w:rsid w:val="00345933"/>
    <w:rsid w:val="00345A1A"/>
    <w:rsid w:val="00345A50"/>
    <w:rsid w:val="00345AA6"/>
    <w:rsid w:val="00345B5E"/>
    <w:rsid w:val="00345DEE"/>
    <w:rsid w:val="00345E17"/>
    <w:rsid w:val="00345EAF"/>
    <w:rsid w:val="003461D4"/>
    <w:rsid w:val="00346391"/>
    <w:rsid w:val="00346446"/>
    <w:rsid w:val="00346745"/>
    <w:rsid w:val="00346786"/>
    <w:rsid w:val="003469DA"/>
    <w:rsid w:val="003469FF"/>
    <w:rsid w:val="00346A03"/>
    <w:rsid w:val="00346B05"/>
    <w:rsid w:val="00346B2F"/>
    <w:rsid w:val="00346BC5"/>
    <w:rsid w:val="00346CCB"/>
    <w:rsid w:val="00346CE1"/>
    <w:rsid w:val="00346D3F"/>
    <w:rsid w:val="00347291"/>
    <w:rsid w:val="00347420"/>
    <w:rsid w:val="0034747A"/>
    <w:rsid w:val="00347625"/>
    <w:rsid w:val="00347748"/>
    <w:rsid w:val="00347775"/>
    <w:rsid w:val="00347907"/>
    <w:rsid w:val="003479DB"/>
    <w:rsid w:val="00347A2F"/>
    <w:rsid w:val="00347B35"/>
    <w:rsid w:val="00350039"/>
    <w:rsid w:val="00350191"/>
    <w:rsid w:val="003501E0"/>
    <w:rsid w:val="00350587"/>
    <w:rsid w:val="003509BD"/>
    <w:rsid w:val="00350C58"/>
    <w:rsid w:val="00350C68"/>
    <w:rsid w:val="00350F09"/>
    <w:rsid w:val="00351066"/>
    <w:rsid w:val="0035122F"/>
    <w:rsid w:val="00351237"/>
    <w:rsid w:val="00351258"/>
    <w:rsid w:val="0035178F"/>
    <w:rsid w:val="0035193D"/>
    <w:rsid w:val="003519E2"/>
    <w:rsid w:val="00351A45"/>
    <w:rsid w:val="00351E28"/>
    <w:rsid w:val="00351FD1"/>
    <w:rsid w:val="00352185"/>
    <w:rsid w:val="003521C0"/>
    <w:rsid w:val="003521F3"/>
    <w:rsid w:val="0035227B"/>
    <w:rsid w:val="003523A7"/>
    <w:rsid w:val="0035240D"/>
    <w:rsid w:val="0035245C"/>
    <w:rsid w:val="0035259E"/>
    <w:rsid w:val="003526CF"/>
    <w:rsid w:val="00352857"/>
    <w:rsid w:val="0035286C"/>
    <w:rsid w:val="00352A14"/>
    <w:rsid w:val="00352A90"/>
    <w:rsid w:val="00352AB7"/>
    <w:rsid w:val="00352B8F"/>
    <w:rsid w:val="00352C0C"/>
    <w:rsid w:val="00352E24"/>
    <w:rsid w:val="00352E4B"/>
    <w:rsid w:val="00352EDF"/>
    <w:rsid w:val="003531AC"/>
    <w:rsid w:val="00353218"/>
    <w:rsid w:val="00353280"/>
    <w:rsid w:val="003532EE"/>
    <w:rsid w:val="003532FB"/>
    <w:rsid w:val="00353359"/>
    <w:rsid w:val="0035335C"/>
    <w:rsid w:val="00353554"/>
    <w:rsid w:val="00353615"/>
    <w:rsid w:val="003536C3"/>
    <w:rsid w:val="0035374C"/>
    <w:rsid w:val="00353764"/>
    <w:rsid w:val="0035379B"/>
    <w:rsid w:val="003537DC"/>
    <w:rsid w:val="00353808"/>
    <w:rsid w:val="00353967"/>
    <w:rsid w:val="00353974"/>
    <w:rsid w:val="003539F8"/>
    <w:rsid w:val="00353B09"/>
    <w:rsid w:val="00353B11"/>
    <w:rsid w:val="00353BFA"/>
    <w:rsid w:val="00353D10"/>
    <w:rsid w:val="00353E07"/>
    <w:rsid w:val="00353E88"/>
    <w:rsid w:val="00354108"/>
    <w:rsid w:val="003541C3"/>
    <w:rsid w:val="003542A5"/>
    <w:rsid w:val="003542BB"/>
    <w:rsid w:val="003542D6"/>
    <w:rsid w:val="00354305"/>
    <w:rsid w:val="0035456B"/>
    <w:rsid w:val="003545C0"/>
    <w:rsid w:val="00354708"/>
    <w:rsid w:val="00354731"/>
    <w:rsid w:val="00354815"/>
    <w:rsid w:val="00354A32"/>
    <w:rsid w:val="00354A9E"/>
    <w:rsid w:val="00354B2E"/>
    <w:rsid w:val="00354B7D"/>
    <w:rsid w:val="00354BD5"/>
    <w:rsid w:val="00354EF9"/>
    <w:rsid w:val="00354F2F"/>
    <w:rsid w:val="003553D5"/>
    <w:rsid w:val="00355553"/>
    <w:rsid w:val="00355B98"/>
    <w:rsid w:val="00355BE3"/>
    <w:rsid w:val="00355F19"/>
    <w:rsid w:val="00356217"/>
    <w:rsid w:val="003565A3"/>
    <w:rsid w:val="0035666C"/>
    <w:rsid w:val="003566B1"/>
    <w:rsid w:val="0035672F"/>
    <w:rsid w:val="003567A3"/>
    <w:rsid w:val="003567E2"/>
    <w:rsid w:val="00356AD4"/>
    <w:rsid w:val="00356BB7"/>
    <w:rsid w:val="00356F8D"/>
    <w:rsid w:val="0035713F"/>
    <w:rsid w:val="00357274"/>
    <w:rsid w:val="00357327"/>
    <w:rsid w:val="00357651"/>
    <w:rsid w:val="003576FF"/>
    <w:rsid w:val="00357750"/>
    <w:rsid w:val="00357A30"/>
    <w:rsid w:val="00357CA5"/>
    <w:rsid w:val="00357D85"/>
    <w:rsid w:val="00357E9E"/>
    <w:rsid w:val="00357F3E"/>
    <w:rsid w:val="003601DB"/>
    <w:rsid w:val="003605DC"/>
    <w:rsid w:val="00360612"/>
    <w:rsid w:val="00360779"/>
    <w:rsid w:val="00360886"/>
    <w:rsid w:val="003609C1"/>
    <w:rsid w:val="003609F8"/>
    <w:rsid w:val="00360B09"/>
    <w:rsid w:val="00360C38"/>
    <w:rsid w:val="00360D30"/>
    <w:rsid w:val="00360F56"/>
    <w:rsid w:val="0036100F"/>
    <w:rsid w:val="00361167"/>
    <w:rsid w:val="003612B0"/>
    <w:rsid w:val="0036138E"/>
    <w:rsid w:val="0036144B"/>
    <w:rsid w:val="003617C3"/>
    <w:rsid w:val="00361D30"/>
    <w:rsid w:val="00361D41"/>
    <w:rsid w:val="00361E8B"/>
    <w:rsid w:val="00361EBE"/>
    <w:rsid w:val="00361F48"/>
    <w:rsid w:val="00362098"/>
    <w:rsid w:val="003620B4"/>
    <w:rsid w:val="003621D6"/>
    <w:rsid w:val="00362451"/>
    <w:rsid w:val="003624B9"/>
    <w:rsid w:val="00362562"/>
    <w:rsid w:val="00362581"/>
    <w:rsid w:val="0036279E"/>
    <w:rsid w:val="0036280F"/>
    <w:rsid w:val="00362946"/>
    <w:rsid w:val="00362AE3"/>
    <w:rsid w:val="00362B2F"/>
    <w:rsid w:val="00362BFB"/>
    <w:rsid w:val="00362C7A"/>
    <w:rsid w:val="00362EFE"/>
    <w:rsid w:val="00362F0A"/>
    <w:rsid w:val="00363069"/>
    <w:rsid w:val="00363197"/>
    <w:rsid w:val="00363283"/>
    <w:rsid w:val="00363523"/>
    <w:rsid w:val="00363634"/>
    <w:rsid w:val="003637A0"/>
    <w:rsid w:val="0036387D"/>
    <w:rsid w:val="003639E5"/>
    <w:rsid w:val="003639E6"/>
    <w:rsid w:val="00363A74"/>
    <w:rsid w:val="00363AD8"/>
    <w:rsid w:val="00363B5A"/>
    <w:rsid w:val="00363C58"/>
    <w:rsid w:val="00363FB6"/>
    <w:rsid w:val="00364006"/>
    <w:rsid w:val="00364079"/>
    <w:rsid w:val="00364249"/>
    <w:rsid w:val="003644E8"/>
    <w:rsid w:val="00364597"/>
    <w:rsid w:val="003647F7"/>
    <w:rsid w:val="003648D5"/>
    <w:rsid w:val="00364A34"/>
    <w:rsid w:val="00364A5D"/>
    <w:rsid w:val="00364AEF"/>
    <w:rsid w:val="00364B2E"/>
    <w:rsid w:val="00364F0C"/>
    <w:rsid w:val="003652BF"/>
    <w:rsid w:val="0036541D"/>
    <w:rsid w:val="0036563B"/>
    <w:rsid w:val="00365C66"/>
    <w:rsid w:val="00365CFF"/>
    <w:rsid w:val="00365E0A"/>
    <w:rsid w:val="00366208"/>
    <w:rsid w:val="0036668F"/>
    <w:rsid w:val="00366800"/>
    <w:rsid w:val="00366925"/>
    <w:rsid w:val="00366AE4"/>
    <w:rsid w:val="00366B25"/>
    <w:rsid w:val="00366D16"/>
    <w:rsid w:val="00366E36"/>
    <w:rsid w:val="00366F5B"/>
    <w:rsid w:val="00367062"/>
    <w:rsid w:val="00367134"/>
    <w:rsid w:val="00367251"/>
    <w:rsid w:val="0036729A"/>
    <w:rsid w:val="003672FD"/>
    <w:rsid w:val="0036749A"/>
    <w:rsid w:val="00367526"/>
    <w:rsid w:val="003677E7"/>
    <w:rsid w:val="0036793B"/>
    <w:rsid w:val="00367CDD"/>
    <w:rsid w:val="00367D93"/>
    <w:rsid w:val="00370052"/>
    <w:rsid w:val="003700ED"/>
    <w:rsid w:val="00370249"/>
    <w:rsid w:val="0037035A"/>
    <w:rsid w:val="003703F0"/>
    <w:rsid w:val="00370431"/>
    <w:rsid w:val="0037063D"/>
    <w:rsid w:val="003707F3"/>
    <w:rsid w:val="00370A16"/>
    <w:rsid w:val="00370A66"/>
    <w:rsid w:val="00370E6A"/>
    <w:rsid w:val="00370E7F"/>
    <w:rsid w:val="00370F62"/>
    <w:rsid w:val="003711E4"/>
    <w:rsid w:val="00371424"/>
    <w:rsid w:val="00371725"/>
    <w:rsid w:val="00371744"/>
    <w:rsid w:val="0037174C"/>
    <w:rsid w:val="003717C1"/>
    <w:rsid w:val="00371800"/>
    <w:rsid w:val="00371855"/>
    <w:rsid w:val="00371BB5"/>
    <w:rsid w:val="00371D9C"/>
    <w:rsid w:val="00371F01"/>
    <w:rsid w:val="0037206F"/>
    <w:rsid w:val="00372078"/>
    <w:rsid w:val="003723A7"/>
    <w:rsid w:val="0037244D"/>
    <w:rsid w:val="00372458"/>
    <w:rsid w:val="0037288F"/>
    <w:rsid w:val="00372AF7"/>
    <w:rsid w:val="00372BA9"/>
    <w:rsid w:val="00372C0F"/>
    <w:rsid w:val="00372DA0"/>
    <w:rsid w:val="00372F60"/>
    <w:rsid w:val="003730DF"/>
    <w:rsid w:val="003731E4"/>
    <w:rsid w:val="003733B2"/>
    <w:rsid w:val="003734C9"/>
    <w:rsid w:val="003735EB"/>
    <w:rsid w:val="00373625"/>
    <w:rsid w:val="00373691"/>
    <w:rsid w:val="00373977"/>
    <w:rsid w:val="00373A37"/>
    <w:rsid w:val="00373CEC"/>
    <w:rsid w:val="00373E05"/>
    <w:rsid w:val="00373E6F"/>
    <w:rsid w:val="00373ED5"/>
    <w:rsid w:val="003741D7"/>
    <w:rsid w:val="003743C8"/>
    <w:rsid w:val="003743E0"/>
    <w:rsid w:val="0037440B"/>
    <w:rsid w:val="00374416"/>
    <w:rsid w:val="003744BC"/>
    <w:rsid w:val="003744E8"/>
    <w:rsid w:val="00374614"/>
    <w:rsid w:val="003747FC"/>
    <w:rsid w:val="00374951"/>
    <w:rsid w:val="00374A26"/>
    <w:rsid w:val="00374A4B"/>
    <w:rsid w:val="00375009"/>
    <w:rsid w:val="0037505D"/>
    <w:rsid w:val="00375060"/>
    <w:rsid w:val="003751B6"/>
    <w:rsid w:val="003751DC"/>
    <w:rsid w:val="003751EC"/>
    <w:rsid w:val="003752DD"/>
    <w:rsid w:val="00375383"/>
    <w:rsid w:val="003756AE"/>
    <w:rsid w:val="003757E9"/>
    <w:rsid w:val="00375893"/>
    <w:rsid w:val="003758A6"/>
    <w:rsid w:val="003758BC"/>
    <w:rsid w:val="00375AF5"/>
    <w:rsid w:val="00375B46"/>
    <w:rsid w:val="00375D26"/>
    <w:rsid w:val="00375F35"/>
    <w:rsid w:val="00376054"/>
    <w:rsid w:val="00376162"/>
    <w:rsid w:val="003762AD"/>
    <w:rsid w:val="0037640F"/>
    <w:rsid w:val="003764D9"/>
    <w:rsid w:val="0037679C"/>
    <w:rsid w:val="00376983"/>
    <w:rsid w:val="00376C52"/>
    <w:rsid w:val="00376E9A"/>
    <w:rsid w:val="00376ECF"/>
    <w:rsid w:val="00377303"/>
    <w:rsid w:val="00377356"/>
    <w:rsid w:val="003774C2"/>
    <w:rsid w:val="00377663"/>
    <w:rsid w:val="00377795"/>
    <w:rsid w:val="003777F2"/>
    <w:rsid w:val="0037788B"/>
    <w:rsid w:val="003778A6"/>
    <w:rsid w:val="00377A0B"/>
    <w:rsid w:val="00377B77"/>
    <w:rsid w:val="00377BB2"/>
    <w:rsid w:val="00377CC5"/>
    <w:rsid w:val="00377DD7"/>
    <w:rsid w:val="00377DF0"/>
    <w:rsid w:val="00380054"/>
    <w:rsid w:val="0038027E"/>
    <w:rsid w:val="003804BA"/>
    <w:rsid w:val="0038053C"/>
    <w:rsid w:val="003806E7"/>
    <w:rsid w:val="003807F8"/>
    <w:rsid w:val="00380877"/>
    <w:rsid w:val="00380A4A"/>
    <w:rsid w:val="003811CD"/>
    <w:rsid w:val="00381355"/>
    <w:rsid w:val="00381396"/>
    <w:rsid w:val="00381499"/>
    <w:rsid w:val="00381784"/>
    <w:rsid w:val="00381A4C"/>
    <w:rsid w:val="00381B6D"/>
    <w:rsid w:val="00381BF1"/>
    <w:rsid w:val="00381DB5"/>
    <w:rsid w:val="00381EC9"/>
    <w:rsid w:val="00381EDF"/>
    <w:rsid w:val="00381EFB"/>
    <w:rsid w:val="00382259"/>
    <w:rsid w:val="003822AC"/>
    <w:rsid w:val="0038243D"/>
    <w:rsid w:val="003825B3"/>
    <w:rsid w:val="003825C7"/>
    <w:rsid w:val="00382742"/>
    <w:rsid w:val="003829C5"/>
    <w:rsid w:val="00382BFF"/>
    <w:rsid w:val="00382C45"/>
    <w:rsid w:val="00382CD5"/>
    <w:rsid w:val="00382E81"/>
    <w:rsid w:val="00382F22"/>
    <w:rsid w:val="00382F25"/>
    <w:rsid w:val="00383477"/>
    <w:rsid w:val="00383493"/>
    <w:rsid w:val="003836ED"/>
    <w:rsid w:val="0038383E"/>
    <w:rsid w:val="00383A44"/>
    <w:rsid w:val="00383D7C"/>
    <w:rsid w:val="003840C7"/>
    <w:rsid w:val="0038415D"/>
    <w:rsid w:val="003841A2"/>
    <w:rsid w:val="003841CD"/>
    <w:rsid w:val="0038438C"/>
    <w:rsid w:val="00384475"/>
    <w:rsid w:val="00384614"/>
    <w:rsid w:val="003846AF"/>
    <w:rsid w:val="003847CE"/>
    <w:rsid w:val="00384BCB"/>
    <w:rsid w:val="00384D7E"/>
    <w:rsid w:val="00384D8C"/>
    <w:rsid w:val="00384F2E"/>
    <w:rsid w:val="00384FE7"/>
    <w:rsid w:val="00385254"/>
    <w:rsid w:val="0038530F"/>
    <w:rsid w:val="003853AE"/>
    <w:rsid w:val="003853C0"/>
    <w:rsid w:val="00385490"/>
    <w:rsid w:val="003854A1"/>
    <w:rsid w:val="00385502"/>
    <w:rsid w:val="00385568"/>
    <w:rsid w:val="003856D5"/>
    <w:rsid w:val="0038574C"/>
    <w:rsid w:val="00385AAD"/>
    <w:rsid w:val="00385B73"/>
    <w:rsid w:val="00385B7B"/>
    <w:rsid w:val="00385D39"/>
    <w:rsid w:val="00385DD8"/>
    <w:rsid w:val="00385E56"/>
    <w:rsid w:val="00385F6A"/>
    <w:rsid w:val="003860CA"/>
    <w:rsid w:val="00386224"/>
    <w:rsid w:val="0038622E"/>
    <w:rsid w:val="003862ED"/>
    <w:rsid w:val="0038640E"/>
    <w:rsid w:val="0038647D"/>
    <w:rsid w:val="00386481"/>
    <w:rsid w:val="00386727"/>
    <w:rsid w:val="003867B4"/>
    <w:rsid w:val="003867F6"/>
    <w:rsid w:val="0038697F"/>
    <w:rsid w:val="00386A32"/>
    <w:rsid w:val="00386AE5"/>
    <w:rsid w:val="00386CB5"/>
    <w:rsid w:val="00386D28"/>
    <w:rsid w:val="00386DDA"/>
    <w:rsid w:val="00386E7C"/>
    <w:rsid w:val="00386EAE"/>
    <w:rsid w:val="00386EC2"/>
    <w:rsid w:val="00387027"/>
    <w:rsid w:val="0038714D"/>
    <w:rsid w:val="00387443"/>
    <w:rsid w:val="003878A0"/>
    <w:rsid w:val="00387B89"/>
    <w:rsid w:val="00387BD8"/>
    <w:rsid w:val="00387EAB"/>
    <w:rsid w:val="00387F44"/>
    <w:rsid w:val="00387F72"/>
    <w:rsid w:val="0039011A"/>
    <w:rsid w:val="00390384"/>
    <w:rsid w:val="00390421"/>
    <w:rsid w:val="0039055F"/>
    <w:rsid w:val="003906EC"/>
    <w:rsid w:val="003907AC"/>
    <w:rsid w:val="003907E4"/>
    <w:rsid w:val="00390919"/>
    <w:rsid w:val="00390AEB"/>
    <w:rsid w:val="00390B11"/>
    <w:rsid w:val="00390B8F"/>
    <w:rsid w:val="00390CBF"/>
    <w:rsid w:val="00390E79"/>
    <w:rsid w:val="00390FD6"/>
    <w:rsid w:val="003912B3"/>
    <w:rsid w:val="00391345"/>
    <w:rsid w:val="0039141C"/>
    <w:rsid w:val="003916CB"/>
    <w:rsid w:val="003916E1"/>
    <w:rsid w:val="003916E3"/>
    <w:rsid w:val="00391A0F"/>
    <w:rsid w:val="00391D5A"/>
    <w:rsid w:val="00391E06"/>
    <w:rsid w:val="00391E8C"/>
    <w:rsid w:val="00391F63"/>
    <w:rsid w:val="00391FFE"/>
    <w:rsid w:val="0039210A"/>
    <w:rsid w:val="0039216B"/>
    <w:rsid w:val="00392190"/>
    <w:rsid w:val="00392278"/>
    <w:rsid w:val="003922B6"/>
    <w:rsid w:val="0039245E"/>
    <w:rsid w:val="003924FE"/>
    <w:rsid w:val="00392986"/>
    <w:rsid w:val="00392AE7"/>
    <w:rsid w:val="00392B45"/>
    <w:rsid w:val="00392CC3"/>
    <w:rsid w:val="00392E44"/>
    <w:rsid w:val="00392EA9"/>
    <w:rsid w:val="00392EAD"/>
    <w:rsid w:val="00392ED4"/>
    <w:rsid w:val="00393290"/>
    <w:rsid w:val="0039347C"/>
    <w:rsid w:val="003934BE"/>
    <w:rsid w:val="00393D26"/>
    <w:rsid w:val="00393EBE"/>
    <w:rsid w:val="00393FBD"/>
    <w:rsid w:val="00394040"/>
    <w:rsid w:val="0039412D"/>
    <w:rsid w:val="003941C1"/>
    <w:rsid w:val="00394664"/>
    <w:rsid w:val="0039468E"/>
    <w:rsid w:val="0039494B"/>
    <w:rsid w:val="00394ACB"/>
    <w:rsid w:val="00394AED"/>
    <w:rsid w:val="00394B46"/>
    <w:rsid w:val="00394E68"/>
    <w:rsid w:val="00394F6C"/>
    <w:rsid w:val="0039509E"/>
    <w:rsid w:val="003951FF"/>
    <w:rsid w:val="00395213"/>
    <w:rsid w:val="0039526D"/>
    <w:rsid w:val="0039532D"/>
    <w:rsid w:val="0039545D"/>
    <w:rsid w:val="003954ED"/>
    <w:rsid w:val="00395605"/>
    <w:rsid w:val="00395664"/>
    <w:rsid w:val="003956D4"/>
    <w:rsid w:val="0039574D"/>
    <w:rsid w:val="003957AC"/>
    <w:rsid w:val="003958B1"/>
    <w:rsid w:val="003958FD"/>
    <w:rsid w:val="0039597A"/>
    <w:rsid w:val="00395AAA"/>
    <w:rsid w:val="00395B5E"/>
    <w:rsid w:val="00395B6D"/>
    <w:rsid w:val="00395DFF"/>
    <w:rsid w:val="003962BB"/>
    <w:rsid w:val="003962C5"/>
    <w:rsid w:val="003963AB"/>
    <w:rsid w:val="003963D3"/>
    <w:rsid w:val="0039644B"/>
    <w:rsid w:val="003965E1"/>
    <w:rsid w:val="003965E8"/>
    <w:rsid w:val="003967BF"/>
    <w:rsid w:val="0039684C"/>
    <w:rsid w:val="00396AA7"/>
    <w:rsid w:val="00396BB5"/>
    <w:rsid w:val="00396CA5"/>
    <w:rsid w:val="00396EB8"/>
    <w:rsid w:val="00396F44"/>
    <w:rsid w:val="003970D1"/>
    <w:rsid w:val="00397190"/>
    <w:rsid w:val="00397420"/>
    <w:rsid w:val="00397449"/>
    <w:rsid w:val="00397744"/>
    <w:rsid w:val="00397855"/>
    <w:rsid w:val="003978B7"/>
    <w:rsid w:val="00397A2A"/>
    <w:rsid w:val="00397C98"/>
    <w:rsid w:val="00397CD2"/>
    <w:rsid w:val="00397DE0"/>
    <w:rsid w:val="00397E96"/>
    <w:rsid w:val="003A0358"/>
    <w:rsid w:val="003A046A"/>
    <w:rsid w:val="003A0839"/>
    <w:rsid w:val="003A08EF"/>
    <w:rsid w:val="003A091D"/>
    <w:rsid w:val="003A0A96"/>
    <w:rsid w:val="003A0DB9"/>
    <w:rsid w:val="003A0DCE"/>
    <w:rsid w:val="003A0EB2"/>
    <w:rsid w:val="003A1029"/>
    <w:rsid w:val="003A1034"/>
    <w:rsid w:val="003A110C"/>
    <w:rsid w:val="003A1425"/>
    <w:rsid w:val="003A14AA"/>
    <w:rsid w:val="003A14D4"/>
    <w:rsid w:val="003A1564"/>
    <w:rsid w:val="003A1CE5"/>
    <w:rsid w:val="003A1D74"/>
    <w:rsid w:val="003A1DAF"/>
    <w:rsid w:val="003A1ECF"/>
    <w:rsid w:val="003A1FEA"/>
    <w:rsid w:val="003A2007"/>
    <w:rsid w:val="003A2131"/>
    <w:rsid w:val="003A2285"/>
    <w:rsid w:val="003A2324"/>
    <w:rsid w:val="003A2594"/>
    <w:rsid w:val="003A2A2D"/>
    <w:rsid w:val="003A2ADA"/>
    <w:rsid w:val="003A2BFC"/>
    <w:rsid w:val="003A2C0F"/>
    <w:rsid w:val="003A2E06"/>
    <w:rsid w:val="003A2F0A"/>
    <w:rsid w:val="003A3035"/>
    <w:rsid w:val="003A3307"/>
    <w:rsid w:val="003A3426"/>
    <w:rsid w:val="003A349C"/>
    <w:rsid w:val="003A34D4"/>
    <w:rsid w:val="003A3663"/>
    <w:rsid w:val="003A3673"/>
    <w:rsid w:val="003A3732"/>
    <w:rsid w:val="003A3914"/>
    <w:rsid w:val="003A3AB6"/>
    <w:rsid w:val="003A3BA7"/>
    <w:rsid w:val="003A3BFB"/>
    <w:rsid w:val="003A3C2E"/>
    <w:rsid w:val="003A3C9E"/>
    <w:rsid w:val="003A3CF0"/>
    <w:rsid w:val="003A3D39"/>
    <w:rsid w:val="003A3E48"/>
    <w:rsid w:val="003A40B8"/>
    <w:rsid w:val="003A4203"/>
    <w:rsid w:val="003A42FD"/>
    <w:rsid w:val="003A44E1"/>
    <w:rsid w:val="003A4505"/>
    <w:rsid w:val="003A4578"/>
    <w:rsid w:val="003A458E"/>
    <w:rsid w:val="003A47C3"/>
    <w:rsid w:val="003A47C5"/>
    <w:rsid w:val="003A488F"/>
    <w:rsid w:val="003A4AE2"/>
    <w:rsid w:val="003A4DD3"/>
    <w:rsid w:val="003A53CC"/>
    <w:rsid w:val="003A5506"/>
    <w:rsid w:val="003A55EB"/>
    <w:rsid w:val="003A5630"/>
    <w:rsid w:val="003A5736"/>
    <w:rsid w:val="003A57DE"/>
    <w:rsid w:val="003A57E9"/>
    <w:rsid w:val="003A5945"/>
    <w:rsid w:val="003A59C2"/>
    <w:rsid w:val="003A59C9"/>
    <w:rsid w:val="003A5B61"/>
    <w:rsid w:val="003A5CBB"/>
    <w:rsid w:val="003A5F60"/>
    <w:rsid w:val="003A5FC4"/>
    <w:rsid w:val="003A605B"/>
    <w:rsid w:val="003A63A0"/>
    <w:rsid w:val="003A64C2"/>
    <w:rsid w:val="003A64D2"/>
    <w:rsid w:val="003A682D"/>
    <w:rsid w:val="003A6847"/>
    <w:rsid w:val="003A6B9F"/>
    <w:rsid w:val="003A6BFC"/>
    <w:rsid w:val="003A6CA1"/>
    <w:rsid w:val="003A6D2E"/>
    <w:rsid w:val="003A6EFD"/>
    <w:rsid w:val="003A6F8D"/>
    <w:rsid w:val="003A7262"/>
    <w:rsid w:val="003A733C"/>
    <w:rsid w:val="003A7483"/>
    <w:rsid w:val="003A74D4"/>
    <w:rsid w:val="003A7867"/>
    <w:rsid w:val="003A7975"/>
    <w:rsid w:val="003A7C8C"/>
    <w:rsid w:val="003A7D62"/>
    <w:rsid w:val="003A7D87"/>
    <w:rsid w:val="003A7E83"/>
    <w:rsid w:val="003A7F02"/>
    <w:rsid w:val="003A7F17"/>
    <w:rsid w:val="003A7FA8"/>
    <w:rsid w:val="003B00B7"/>
    <w:rsid w:val="003B038D"/>
    <w:rsid w:val="003B03C7"/>
    <w:rsid w:val="003B0485"/>
    <w:rsid w:val="003B0523"/>
    <w:rsid w:val="003B063B"/>
    <w:rsid w:val="003B0715"/>
    <w:rsid w:val="003B0857"/>
    <w:rsid w:val="003B0933"/>
    <w:rsid w:val="003B09E4"/>
    <w:rsid w:val="003B0BB7"/>
    <w:rsid w:val="003B0BF7"/>
    <w:rsid w:val="003B0EED"/>
    <w:rsid w:val="003B0EEF"/>
    <w:rsid w:val="003B105C"/>
    <w:rsid w:val="003B10CC"/>
    <w:rsid w:val="003B145E"/>
    <w:rsid w:val="003B1887"/>
    <w:rsid w:val="003B18E1"/>
    <w:rsid w:val="003B1926"/>
    <w:rsid w:val="003B1C97"/>
    <w:rsid w:val="003B20B2"/>
    <w:rsid w:val="003B20DA"/>
    <w:rsid w:val="003B215A"/>
    <w:rsid w:val="003B219E"/>
    <w:rsid w:val="003B227E"/>
    <w:rsid w:val="003B2318"/>
    <w:rsid w:val="003B234E"/>
    <w:rsid w:val="003B23A3"/>
    <w:rsid w:val="003B23D6"/>
    <w:rsid w:val="003B253C"/>
    <w:rsid w:val="003B2A53"/>
    <w:rsid w:val="003B2B5A"/>
    <w:rsid w:val="003B2BA7"/>
    <w:rsid w:val="003B2E86"/>
    <w:rsid w:val="003B3260"/>
    <w:rsid w:val="003B3301"/>
    <w:rsid w:val="003B342C"/>
    <w:rsid w:val="003B3641"/>
    <w:rsid w:val="003B3917"/>
    <w:rsid w:val="003B395D"/>
    <w:rsid w:val="003B39B9"/>
    <w:rsid w:val="003B3AEE"/>
    <w:rsid w:val="003B3B90"/>
    <w:rsid w:val="003B3BB5"/>
    <w:rsid w:val="003B3F68"/>
    <w:rsid w:val="003B3FC8"/>
    <w:rsid w:val="003B41F3"/>
    <w:rsid w:val="003B422A"/>
    <w:rsid w:val="003B439C"/>
    <w:rsid w:val="003B43EA"/>
    <w:rsid w:val="003B4534"/>
    <w:rsid w:val="003B4540"/>
    <w:rsid w:val="003B455A"/>
    <w:rsid w:val="003B4589"/>
    <w:rsid w:val="003B466F"/>
    <w:rsid w:val="003B46A4"/>
    <w:rsid w:val="003B46C2"/>
    <w:rsid w:val="003B472F"/>
    <w:rsid w:val="003B47C2"/>
    <w:rsid w:val="003B480E"/>
    <w:rsid w:val="003B48FE"/>
    <w:rsid w:val="003B4A45"/>
    <w:rsid w:val="003B4AC2"/>
    <w:rsid w:val="003B4ADC"/>
    <w:rsid w:val="003B4AFC"/>
    <w:rsid w:val="003B4BEE"/>
    <w:rsid w:val="003B4E23"/>
    <w:rsid w:val="003B549E"/>
    <w:rsid w:val="003B55CD"/>
    <w:rsid w:val="003B5618"/>
    <w:rsid w:val="003B565F"/>
    <w:rsid w:val="003B56B2"/>
    <w:rsid w:val="003B575E"/>
    <w:rsid w:val="003B57E0"/>
    <w:rsid w:val="003B5810"/>
    <w:rsid w:val="003B58B0"/>
    <w:rsid w:val="003B5941"/>
    <w:rsid w:val="003B5ADF"/>
    <w:rsid w:val="003B5B9D"/>
    <w:rsid w:val="003B5F37"/>
    <w:rsid w:val="003B6193"/>
    <w:rsid w:val="003B61BE"/>
    <w:rsid w:val="003B6342"/>
    <w:rsid w:val="003B6595"/>
    <w:rsid w:val="003B6798"/>
    <w:rsid w:val="003B68EA"/>
    <w:rsid w:val="003B693A"/>
    <w:rsid w:val="003B6A2D"/>
    <w:rsid w:val="003B6C63"/>
    <w:rsid w:val="003B6C8C"/>
    <w:rsid w:val="003B6EA4"/>
    <w:rsid w:val="003B700A"/>
    <w:rsid w:val="003B709A"/>
    <w:rsid w:val="003B719F"/>
    <w:rsid w:val="003B71A1"/>
    <w:rsid w:val="003B723B"/>
    <w:rsid w:val="003B73DA"/>
    <w:rsid w:val="003B74AD"/>
    <w:rsid w:val="003B74E4"/>
    <w:rsid w:val="003B754C"/>
    <w:rsid w:val="003B76F9"/>
    <w:rsid w:val="003B78FC"/>
    <w:rsid w:val="003B7922"/>
    <w:rsid w:val="003B7994"/>
    <w:rsid w:val="003B7AD4"/>
    <w:rsid w:val="003B7ADD"/>
    <w:rsid w:val="003B7B1A"/>
    <w:rsid w:val="003B7B7A"/>
    <w:rsid w:val="003B7BDD"/>
    <w:rsid w:val="003B7F90"/>
    <w:rsid w:val="003C012E"/>
    <w:rsid w:val="003C023D"/>
    <w:rsid w:val="003C0356"/>
    <w:rsid w:val="003C042C"/>
    <w:rsid w:val="003C0462"/>
    <w:rsid w:val="003C046C"/>
    <w:rsid w:val="003C0918"/>
    <w:rsid w:val="003C0B96"/>
    <w:rsid w:val="003C0C00"/>
    <w:rsid w:val="003C0C58"/>
    <w:rsid w:val="003C0CD3"/>
    <w:rsid w:val="003C0DBD"/>
    <w:rsid w:val="003C0FF4"/>
    <w:rsid w:val="003C1040"/>
    <w:rsid w:val="003C10EE"/>
    <w:rsid w:val="003C10F0"/>
    <w:rsid w:val="003C1205"/>
    <w:rsid w:val="003C1311"/>
    <w:rsid w:val="003C1399"/>
    <w:rsid w:val="003C1445"/>
    <w:rsid w:val="003C14CA"/>
    <w:rsid w:val="003C1547"/>
    <w:rsid w:val="003C1572"/>
    <w:rsid w:val="003C15D4"/>
    <w:rsid w:val="003C1610"/>
    <w:rsid w:val="003C16AF"/>
    <w:rsid w:val="003C1912"/>
    <w:rsid w:val="003C1A49"/>
    <w:rsid w:val="003C1A7E"/>
    <w:rsid w:val="003C1C9D"/>
    <w:rsid w:val="003C1D5D"/>
    <w:rsid w:val="003C1DCE"/>
    <w:rsid w:val="003C2047"/>
    <w:rsid w:val="003C2061"/>
    <w:rsid w:val="003C21A6"/>
    <w:rsid w:val="003C2446"/>
    <w:rsid w:val="003C24C2"/>
    <w:rsid w:val="003C2537"/>
    <w:rsid w:val="003C2575"/>
    <w:rsid w:val="003C25A2"/>
    <w:rsid w:val="003C2656"/>
    <w:rsid w:val="003C26E7"/>
    <w:rsid w:val="003C2760"/>
    <w:rsid w:val="003C2A91"/>
    <w:rsid w:val="003C2ABB"/>
    <w:rsid w:val="003C2B27"/>
    <w:rsid w:val="003C2B6C"/>
    <w:rsid w:val="003C2B97"/>
    <w:rsid w:val="003C2CD4"/>
    <w:rsid w:val="003C2E23"/>
    <w:rsid w:val="003C2EE5"/>
    <w:rsid w:val="003C2F76"/>
    <w:rsid w:val="003C2F8C"/>
    <w:rsid w:val="003C30ED"/>
    <w:rsid w:val="003C310D"/>
    <w:rsid w:val="003C3131"/>
    <w:rsid w:val="003C321A"/>
    <w:rsid w:val="003C3256"/>
    <w:rsid w:val="003C33FD"/>
    <w:rsid w:val="003C3468"/>
    <w:rsid w:val="003C3576"/>
    <w:rsid w:val="003C3660"/>
    <w:rsid w:val="003C379D"/>
    <w:rsid w:val="003C3C0D"/>
    <w:rsid w:val="003C3CA7"/>
    <w:rsid w:val="003C3D7F"/>
    <w:rsid w:val="003C3F1A"/>
    <w:rsid w:val="003C421C"/>
    <w:rsid w:val="003C44DD"/>
    <w:rsid w:val="003C48A0"/>
    <w:rsid w:val="003C4CE0"/>
    <w:rsid w:val="003C4D9D"/>
    <w:rsid w:val="003C4FA1"/>
    <w:rsid w:val="003C4FCF"/>
    <w:rsid w:val="003C500A"/>
    <w:rsid w:val="003C500C"/>
    <w:rsid w:val="003C516D"/>
    <w:rsid w:val="003C5199"/>
    <w:rsid w:val="003C51CB"/>
    <w:rsid w:val="003C521C"/>
    <w:rsid w:val="003C52D1"/>
    <w:rsid w:val="003C549D"/>
    <w:rsid w:val="003C5559"/>
    <w:rsid w:val="003C5573"/>
    <w:rsid w:val="003C5822"/>
    <w:rsid w:val="003C59FE"/>
    <w:rsid w:val="003C5B03"/>
    <w:rsid w:val="003C5BC6"/>
    <w:rsid w:val="003C5BD3"/>
    <w:rsid w:val="003C5C4C"/>
    <w:rsid w:val="003C5C4F"/>
    <w:rsid w:val="003C5C5C"/>
    <w:rsid w:val="003C5D66"/>
    <w:rsid w:val="003C5FCD"/>
    <w:rsid w:val="003C5FF8"/>
    <w:rsid w:val="003C601D"/>
    <w:rsid w:val="003C61BA"/>
    <w:rsid w:val="003C61EB"/>
    <w:rsid w:val="003C61F2"/>
    <w:rsid w:val="003C621D"/>
    <w:rsid w:val="003C6242"/>
    <w:rsid w:val="003C628B"/>
    <w:rsid w:val="003C6759"/>
    <w:rsid w:val="003C6792"/>
    <w:rsid w:val="003C67BE"/>
    <w:rsid w:val="003C6A28"/>
    <w:rsid w:val="003C6EDF"/>
    <w:rsid w:val="003C6F9A"/>
    <w:rsid w:val="003C7026"/>
    <w:rsid w:val="003C70BD"/>
    <w:rsid w:val="003C7135"/>
    <w:rsid w:val="003C7192"/>
    <w:rsid w:val="003C725E"/>
    <w:rsid w:val="003C73CE"/>
    <w:rsid w:val="003C759C"/>
    <w:rsid w:val="003C7641"/>
    <w:rsid w:val="003C768A"/>
    <w:rsid w:val="003C7A32"/>
    <w:rsid w:val="003C7AB9"/>
    <w:rsid w:val="003C7C34"/>
    <w:rsid w:val="003C7DB7"/>
    <w:rsid w:val="003C7F94"/>
    <w:rsid w:val="003C7F9B"/>
    <w:rsid w:val="003D0132"/>
    <w:rsid w:val="003D013F"/>
    <w:rsid w:val="003D03B8"/>
    <w:rsid w:val="003D03F4"/>
    <w:rsid w:val="003D0459"/>
    <w:rsid w:val="003D050B"/>
    <w:rsid w:val="003D0592"/>
    <w:rsid w:val="003D0763"/>
    <w:rsid w:val="003D0947"/>
    <w:rsid w:val="003D0956"/>
    <w:rsid w:val="003D0C1E"/>
    <w:rsid w:val="003D0DC2"/>
    <w:rsid w:val="003D0E1A"/>
    <w:rsid w:val="003D0F8B"/>
    <w:rsid w:val="003D1003"/>
    <w:rsid w:val="003D10A0"/>
    <w:rsid w:val="003D1194"/>
    <w:rsid w:val="003D137A"/>
    <w:rsid w:val="003D1484"/>
    <w:rsid w:val="003D15A7"/>
    <w:rsid w:val="003D16EB"/>
    <w:rsid w:val="003D17F9"/>
    <w:rsid w:val="003D1A95"/>
    <w:rsid w:val="003D1B9F"/>
    <w:rsid w:val="003D1EE3"/>
    <w:rsid w:val="003D2262"/>
    <w:rsid w:val="003D2427"/>
    <w:rsid w:val="003D243D"/>
    <w:rsid w:val="003D257C"/>
    <w:rsid w:val="003D2675"/>
    <w:rsid w:val="003D2698"/>
    <w:rsid w:val="003D26E0"/>
    <w:rsid w:val="003D2708"/>
    <w:rsid w:val="003D27C3"/>
    <w:rsid w:val="003D2859"/>
    <w:rsid w:val="003D2978"/>
    <w:rsid w:val="003D2D41"/>
    <w:rsid w:val="003D31C2"/>
    <w:rsid w:val="003D3235"/>
    <w:rsid w:val="003D32F7"/>
    <w:rsid w:val="003D35CD"/>
    <w:rsid w:val="003D3684"/>
    <w:rsid w:val="003D3749"/>
    <w:rsid w:val="003D3884"/>
    <w:rsid w:val="003D38F4"/>
    <w:rsid w:val="003D39E7"/>
    <w:rsid w:val="003D3AF4"/>
    <w:rsid w:val="003D3C37"/>
    <w:rsid w:val="003D3CBF"/>
    <w:rsid w:val="003D3D34"/>
    <w:rsid w:val="003D3DE7"/>
    <w:rsid w:val="003D3F3B"/>
    <w:rsid w:val="003D4435"/>
    <w:rsid w:val="003D45E4"/>
    <w:rsid w:val="003D462E"/>
    <w:rsid w:val="003D46E4"/>
    <w:rsid w:val="003D4731"/>
    <w:rsid w:val="003D474C"/>
    <w:rsid w:val="003D48AE"/>
    <w:rsid w:val="003D4900"/>
    <w:rsid w:val="003D49B2"/>
    <w:rsid w:val="003D4A00"/>
    <w:rsid w:val="003D4B61"/>
    <w:rsid w:val="003D502E"/>
    <w:rsid w:val="003D515A"/>
    <w:rsid w:val="003D529F"/>
    <w:rsid w:val="003D5378"/>
    <w:rsid w:val="003D53C5"/>
    <w:rsid w:val="003D53FA"/>
    <w:rsid w:val="003D5691"/>
    <w:rsid w:val="003D571D"/>
    <w:rsid w:val="003D57B5"/>
    <w:rsid w:val="003D58D2"/>
    <w:rsid w:val="003D5953"/>
    <w:rsid w:val="003D5A4D"/>
    <w:rsid w:val="003D5B0A"/>
    <w:rsid w:val="003D5C21"/>
    <w:rsid w:val="003D5CEB"/>
    <w:rsid w:val="003D5D77"/>
    <w:rsid w:val="003D5E1E"/>
    <w:rsid w:val="003D5E2E"/>
    <w:rsid w:val="003D5E5A"/>
    <w:rsid w:val="003D5EC9"/>
    <w:rsid w:val="003D6140"/>
    <w:rsid w:val="003D6212"/>
    <w:rsid w:val="003D6240"/>
    <w:rsid w:val="003D6468"/>
    <w:rsid w:val="003D648C"/>
    <w:rsid w:val="003D6769"/>
    <w:rsid w:val="003D684F"/>
    <w:rsid w:val="003D6983"/>
    <w:rsid w:val="003D6B4A"/>
    <w:rsid w:val="003D6C33"/>
    <w:rsid w:val="003D6CE0"/>
    <w:rsid w:val="003D6D02"/>
    <w:rsid w:val="003D6E97"/>
    <w:rsid w:val="003D6F26"/>
    <w:rsid w:val="003D701D"/>
    <w:rsid w:val="003D7075"/>
    <w:rsid w:val="003D7080"/>
    <w:rsid w:val="003D7335"/>
    <w:rsid w:val="003D7343"/>
    <w:rsid w:val="003D73C4"/>
    <w:rsid w:val="003D76D7"/>
    <w:rsid w:val="003D77FC"/>
    <w:rsid w:val="003D78A6"/>
    <w:rsid w:val="003D79CB"/>
    <w:rsid w:val="003D79F1"/>
    <w:rsid w:val="003D7A7A"/>
    <w:rsid w:val="003D7CD9"/>
    <w:rsid w:val="003D7E36"/>
    <w:rsid w:val="003D7E39"/>
    <w:rsid w:val="003D7F53"/>
    <w:rsid w:val="003E0053"/>
    <w:rsid w:val="003E0105"/>
    <w:rsid w:val="003E011F"/>
    <w:rsid w:val="003E0331"/>
    <w:rsid w:val="003E068F"/>
    <w:rsid w:val="003E06D9"/>
    <w:rsid w:val="003E0718"/>
    <w:rsid w:val="003E08C6"/>
    <w:rsid w:val="003E095D"/>
    <w:rsid w:val="003E0A3D"/>
    <w:rsid w:val="003E0AA7"/>
    <w:rsid w:val="003E0AEF"/>
    <w:rsid w:val="003E0B6D"/>
    <w:rsid w:val="003E0C43"/>
    <w:rsid w:val="003E0D46"/>
    <w:rsid w:val="003E0F60"/>
    <w:rsid w:val="003E1137"/>
    <w:rsid w:val="003E117B"/>
    <w:rsid w:val="003E1180"/>
    <w:rsid w:val="003E132E"/>
    <w:rsid w:val="003E1400"/>
    <w:rsid w:val="003E1417"/>
    <w:rsid w:val="003E1527"/>
    <w:rsid w:val="003E1534"/>
    <w:rsid w:val="003E156A"/>
    <w:rsid w:val="003E162C"/>
    <w:rsid w:val="003E16F2"/>
    <w:rsid w:val="003E176A"/>
    <w:rsid w:val="003E17E6"/>
    <w:rsid w:val="003E17FF"/>
    <w:rsid w:val="003E1A42"/>
    <w:rsid w:val="003E1BAA"/>
    <w:rsid w:val="003E1D43"/>
    <w:rsid w:val="003E1FDB"/>
    <w:rsid w:val="003E208D"/>
    <w:rsid w:val="003E2363"/>
    <w:rsid w:val="003E2480"/>
    <w:rsid w:val="003E2536"/>
    <w:rsid w:val="003E25A2"/>
    <w:rsid w:val="003E26A2"/>
    <w:rsid w:val="003E276E"/>
    <w:rsid w:val="003E2A6C"/>
    <w:rsid w:val="003E2BFC"/>
    <w:rsid w:val="003E2C1C"/>
    <w:rsid w:val="003E2D0B"/>
    <w:rsid w:val="003E2E46"/>
    <w:rsid w:val="003E2EA4"/>
    <w:rsid w:val="003E302C"/>
    <w:rsid w:val="003E30D3"/>
    <w:rsid w:val="003E3288"/>
    <w:rsid w:val="003E352D"/>
    <w:rsid w:val="003E37DB"/>
    <w:rsid w:val="003E37F6"/>
    <w:rsid w:val="003E3B98"/>
    <w:rsid w:val="003E3BFF"/>
    <w:rsid w:val="003E3F5C"/>
    <w:rsid w:val="003E3FB5"/>
    <w:rsid w:val="003E3FC5"/>
    <w:rsid w:val="003E410A"/>
    <w:rsid w:val="003E4124"/>
    <w:rsid w:val="003E43EA"/>
    <w:rsid w:val="003E442A"/>
    <w:rsid w:val="003E4607"/>
    <w:rsid w:val="003E469A"/>
    <w:rsid w:val="003E46D9"/>
    <w:rsid w:val="003E46E5"/>
    <w:rsid w:val="003E4759"/>
    <w:rsid w:val="003E48FE"/>
    <w:rsid w:val="003E4A43"/>
    <w:rsid w:val="003E4AB8"/>
    <w:rsid w:val="003E4C49"/>
    <w:rsid w:val="003E4DCF"/>
    <w:rsid w:val="003E4DD9"/>
    <w:rsid w:val="003E4E7A"/>
    <w:rsid w:val="003E526B"/>
    <w:rsid w:val="003E5309"/>
    <w:rsid w:val="003E5384"/>
    <w:rsid w:val="003E53A7"/>
    <w:rsid w:val="003E5534"/>
    <w:rsid w:val="003E5582"/>
    <w:rsid w:val="003E55E2"/>
    <w:rsid w:val="003E5756"/>
    <w:rsid w:val="003E594E"/>
    <w:rsid w:val="003E5A8F"/>
    <w:rsid w:val="003E5BD4"/>
    <w:rsid w:val="003E5C1D"/>
    <w:rsid w:val="003E5D36"/>
    <w:rsid w:val="003E5D9D"/>
    <w:rsid w:val="003E5DE9"/>
    <w:rsid w:val="003E5F0B"/>
    <w:rsid w:val="003E5F3A"/>
    <w:rsid w:val="003E5FED"/>
    <w:rsid w:val="003E601E"/>
    <w:rsid w:val="003E60A4"/>
    <w:rsid w:val="003E61C7"/>
    <w:rsid w:val="003E6222"/>
    <w:rsid w:val="003E62D4"/>
    <w:rsid w:val="003E63FF"/>
    <w:rsid w:val="003E65C8"/>
    <w:rsid w:val="003E674F"/>
    <w:rsid w:val="003E68AE"/>
    <w:rsid w:val="003E696E"/>
    <w:rsid w:val="003E6AD9"/>
    <w:rsid w:val="003E6C3A"/>
    <w:rsid w:val="003E6CD7"/>
    <w:rsid w:val="003E6EEF"/>
    <w:rsid w:val="003E713D"/>
    <w:rsid w:val="003E7180"/>
    <w:rsid w:val="003E71D4"/>
    <w:rsid w:val="003E7232"/>
    <w:rsid w:val="003E73E6"/>
    <w:rsid w:val="003E75B2"/>
    <w:rsid w:val="003E76B1"/>
    <w:rsid w:val="003E76D9"/>
    <w:rsid w:val="003E7894"/>
    <w:rsid w:val="003E7984"/>
    <w:rsid w:val="003E7A7C"/>
    <w:rsid w:val="003E7AFB"/>
    <w:rsid w:val="003E7B40"/>
    <w:rsid w:val="003E7BC6"/>
    <w:rsid w:val="003E7EBA"/>
    <w:rsid w:val="003E7EC5"/>
    <w:rsid w:val="003F0045"/>
    <w:rsid w:val="003F01A8"/>
    <w:rsid w:val="003F0236"/>
    <w:rsid w:val="003F026C"/>
    <w:rsid w:val="003F033F"/>
    <w:rsid w:val="003F04F5"/>
    <w:rsid w:val="003F058B"/>
    <w:rsid w:val="003F066D"/>
    <w:rsid w:val="003F07F9"/>
    <w:rsid w:val="003F09DB"/>
    <w:rsid w:val="003F0A14"/>
    <w:rsid w:val="003F0D04"/>
    <w:rsid w:val="003F1037"/>
    <w:rsid w:val="003F1051"/>
    <w:rsid w:val="003F1058"/>
    <w:rsid w:val="003F10C0"/>
    <w:rsid w:val="003F11DD"/>
    <w:rsid w:val="003F14CE"/>
    <w:rsid w:val="003F160F"/>
    <w:rsid w:val="003F1665"/>
    <w:rsid w:val="003F172E"/>
    <w:rsid w:val="003F1847"/>
    <w:rsid w:val="003F19A0"/>
    <w:rsid w:val="003F1B09"/>
    <w:rsid w:val="003F1B7E"/>
    <w:rsid w:val="003F1C2C"/>
    <w:rsid w:val="003F1CAF"/>
    <w:rsid w:val="003F1ED6"/>
    <w:rsid w:val="003F1F22"/>
    <w:rsid w:val="003F1F64"/>
    <w:rsid w:val="003F1FF4"/>
    <w:rsid w:val="003F2098"/>
    <w:rsid w:val="003F214A"/>
    <w:rsid w:val="003F23E9"/>
    <w:rsid w:val="003F23F3"/>
    <w:rsid w:val="003F2725"/>
    <w:rsid w:val="003F2786"/>
    <w:rsid w:val="003F27F4"/>
    <w:rsid w:val="003F2A9D"/>
    <w:rsid w:val="003F2B51"/>
    <w:rsid w:val="003F2D94"/>
    <w:rsid w:val="003F2DE5"/>
    <w:rsid w:val="003F2EE0"/>
    <w:rsid w:val="003F2F73"/>
    <w:rsid w:val="003F3209"/>
    <w:rsid w:val="003F33DF"/>
    <w:rsid w:val="003F33F2"/>
    <w:rsid w:val="003F3852"/>
    <w:rsid w:val="003F3B47"/>
    <w:rsid w:val="003F3B62"/>
    <w:rsid w:val="003F3D1F"/>
    <w:rsid w:val="003F3E60"/>
    <w:rsid w:val="003F3ECD"/>
    <w:rsid w:val="003F3F6E"/>
    <w:rsid w:val="003F44F8"/>
    <w:rsid w:val="003F457B"/>
    <w:rsid w:val="003F45F4"/>
    <w:rsid w:val="003F4837"/>
    <w:rsid w:val="003F492A"/>
    <w:rsid w:val="003F4C76"/>
    <w:rsid w:val="003F4F0C"/>
    <w:rsid w:val="003F5038"/>
    <w:rsid w:val="003F516F"/>
    <w:rsid w:val="003F51E4"/>
    <w:rsid w:val="003F524A"/>
    <w:rsid w:val="003F532F"/>
    <w:rsid w:val="003F5393"/>
    <w:rsid w:val="003F549A"/>
    <w:rsid w:val="003F5541"/>
    <w:rsid w:val="003F5856"/>
    <w:rsid w:val="003F5D8D"/>
    <w:rsid w:val="003F5E0D"/>
    <w:rsid w:val="003F5E22"/>
    <w:rsid w:val="003F5E36"/>
    <w:rsid w:val="003F60A4"/>
    <w:rsid w:val="003F6113"/>
    <w:rsid w:val="003F6152"/>
    <w:rsid w:val="003F615B"/>
    <w:rsid w:val="003F61BB"/>
    <w:rsid w:val="003F63A9"/>
    <w:rsid w:val="003F68A2"/>
    <w:rsid w:val="003F6A32"/>
    <w:rsid w:val="003F6A87"/>
    <w:rsid w:val="003F6ADE"/>
    <w:rsid w:val="003F6AE2"/>
    <w:rsid w:val="003F6BC0"/>
    <w:rsid w:val="003F6D55"/>
    <w:rsid w:val="003F6EBF"/>
    <w:rsid w:val="003F7141"/>
    <w:rsid w:val="003F71C9"/>
    <w:rsid w:val="003F71CE"/>
    <w:rsid w:val="003F73BE"/>
    <w:rsid w:val="003F74A3"/>
    <w:rsid w:val="003F752A"/>
    <w:rsid w:val="003F7582"/>
    <w:rsid w:val="003F775F"/>
    <w:rsid w:val="003F796E"/>
    <w:rsid w:val="003F7A8F"/>
    <w:rsid w:val="003F7DD7"/>
    <w:rsid w:val="003F7E02"/>
    <w:rsid w:val="0040002A"/>
    <w:rsid w:val="00400083"/>
    <w:rsid w:val="004000E8"/>
    <w:rsid w:val="0040013F"/>
    <w:rsid w:val="00400252"/>
    <w:rsid w:val="004002F7"/>
    <w:rsid w:val="004004B8"/>
    <w:rsid w:val="00400678"/>
    <w:rsid w:val="0040068B"/>
    <w:rsid w:val="0040076A"/>
    <w:rsid w:val="004007E7"/>
    <w:rsid w:val="00400914"/>
    <w:rsid w:val="004009AF"/>
    <w:rsid w:val="00400BE8"/>
    <w:rsid w:val="00400C21"/>
    <w:rsid w:val="00400C74"/>
    <w:rsid w:val="00400E99"/>
    <w:rsid w:val="00400F26"/>
    <w:rsid w:val="00400F4F"/>
    <w:rsid w:val="00400F6A"/>
    <w:rsid w:val="00400FAF"/>
    <w:rsid w:val="00401028"/>
    <w:rsid w:val="00401089"/>
    <w:rsid w:val="00401492"/>
    <w:rsid w:val="0040158E"/>
    <w:rsid w:val="00401705"/>
    <w:rsid w:val="004017BC"/>
    <w:rsid w:val="004017E1"/>
    <w:rsid w:val="004018B0"/>
    <w:rsid w:val="00401BF7"/>
    <w:rsid w:val="00401CA0"/>
    <w:rsid w:val="00401D3F"/>
    <w:rsid w:val="00401FE5"/>
    <w:rsid w:val="00402074"/>
    <w:rsid w:val="004020CF"/>
    <w:rsid w:val="004021A6"/>
    <w:rsid w:val="004022C3"/>
    <w:rsid w:val="00402555"/>
    <w:rsid w:val="004026A3"/>
    <w:rsid w:val="004026A8"/>
    <w:rsid w:val="004026CE"/>
    <w:rsid w:val="0040276A"/>
    <w:rsid w:val="0040293C"/>
    <w:rsid w:val="00402BB7"/>
    <w:rsid w:val="00402C07"/>
    <w:rsid w:val="00402FDE"/>
    <w:rsid w:val="00403004"/>
    <w:rsid w:val="0040319F"/>
    <w:rsid w:val="0040342D"/>
    <w:rsid w:val="004034D5"/>
    <w:rsid w:val="00403501"/>
    <w:rsid w:val="00403513"/>
    <w:rsid w:val="00403519"/>
    <w:rsid w:val="00403543"/>
    <w:rsid w:val="00403565"/>
    <w:rsid w:val="004036A7"/>
    <w:rsid w:val="00403811"/>
    <w:rsid w:val="004038EA"/>
    <w:rsid w:val="00403A52"/>
    <w:rsid w:val="00403E6D"/>
    <w:rsid w:val="00403ECA"/>
    <w:rsid w:val="00404002"/>
    <w:rsid w:val="00404047"/>
    <w:rsid w:val="00404053"/>
    <w:rsid w:val="00404116"/>
    <w:rsid w:val="00404197"/>
    <w:rsid w:val="004041A0"/>
    <w:rsid w:val="00404769"/>
    <w:rsid w:val="004049DE"/>
    <w:rsid w:val="00404A79"/>
    <w:rsid w:val="00404AF2"/>
    <w:rsid w:val="00404C75"/>
    <w:rsid w:val="00404E4B"/>
    <w:rsid w:val="00404E92"/>
    <w:rsid w:val="00405045"/>
    <w:rsid w:val="0040513F"/>
    <w:rsid w:val="0040522A"/>
    <w:rsid w:val="0040523A"/>
    <w:rsid w:val="004053A8"/>
    <w:rsid w:val="004054B3"/>
    <w:rsid w:val="00405589"/>
    <w:rsid w:val="0040566A"/>
    <w:rsid w:val="00405828"/>
    <w:rsid w:val="00405877"/>
    <w:rsid w:val="0040587C"/>
    <w:rsid w:val="0040588B"/>
    <w:rsid w:val="00405A9A"/>
    <w:rsid w:val="00405AF5"/>
    <w:rsid w:val="00405B4E"/>
    <w:rsid w:val="00405D34"/>
    <w:rsid w:val="00405DBE"/>
    <w:rsid w:val="00405FDE"/>
    <w:rsid w:val="00406007"/>
    <w:rsid w:val="00406077"/>
    <w:rsid w:val="00406084"/>
    <w:rsid w:val="004061BB"/>
    <w:rsid w:val="004062DE"/>
    <w:rsid w:val="00406356"/>
    <w:rsid w:val="00406684"/>
    <w:rsid w:val="00406898"/>
    <w:rsid w:val="0040696B"/>
    <w:rsid w:val="004069E4"/>
    <w:rsid w:val="004069F9"/>
    <w:rsid w:val="00406A86"/>
    <w:rsid w:val="00406A8A"/>
    <w:rsid w:val="00406A99"/>
    <w:rsid w:val="00406B5A"/>
    <w:rsid w:val="00406BE8"/>
    <w:rsid w:val="00406C90"/>
    <w:rsid w:val="00406D7F"/>
    <w:rsid w:val="00406DA0"/>
    <w:rsid w:val="00406F2D"/>
    <w:rsid w:val="004070E8"/>
    <w:rsid w:val="00407275"/>
    <w:rsid w:val="004072AB"/>
    <w:rsid w:val="004075F9"/>
    <w:rsid w:val="00407655"/>
    <w:rsid w:val="004078B0"/>
    <w:rsid w:val="00407B7C"/>
    <w:rsid w:val="00407C7C"/>
    <w:rsid w:val="00407CD6"/>
    <w:rsid w:val="00407D06"/>
    <w:rsid w:val="00410057"/>
    <w:rsid w:val="00410147"/>
    <w:rsid w:val="00410176"/>
    <w:rsid w:val="00410438"/>
    <w:rsid w:val="004105A5"/>
    <w:rsid w:val="004107C5"/>
    <w:rsid w:val="004107D8"/>
    <w:rsid w:val="0041088E"/>
    <w:rsid w:val="004108F4"/>
    <w:rsid w:val="00410E37"/>
    <w:rsid w:val="0041119E"/>
    <w:rsid w:val="0041120F"/>
    <w:rsid w:val="00411280"/>
    <w:rsid w:val="00411371"/>
    <w:rsid w:val="0041144A"/>
    <w:rsid w:val="004117BC"/>
    <w:rsid w:val="004117CE"/>
    <w:rsid w:val="00411905"/>
    <w:rsid w:val="004119C2"/>
    <w:rsid w:val="00411D1D"/>
    <w:rsid w:val="00412086"/>
    <w:rsid w:val="0041216F"/>
    <w:rsid w:val="00412755"/>
    <w:rsid w:val="004127EE"/>
    <w:rsid w:val="00412A78"/>
    <w:rsid w:val="00412CE3"/>
    <w:rsid w:val="00412F4C"/>
    <w:rsid w:val="004130E2"/>
    <w:rsid w:val="004133E0"/>
    <w:rsid w:val="00413414"/>
    <w:rsid w:val="00413469"/>
    <w:rsid w:val="00413472"/>
    <w:rsid w:val="004136A2"/>
    <w:rsid w:val="00413A12"/>
    <w:rsid w:val="00413A7E"/>
    <w:rsid w:val="00413C72"/>
    <w:rsid w:val="00413C94"/>
    <w:rsid w:val="00413D2B"/>
    <w:rsid w:val="00413D55"/>
    <w:rsid w:val="00413DFA"/>
    <w:rsid w:val="00413E48"/>
    <w:rsid w:val="00413E4E"/>
    <w:rsid w:val="004140D3"/>
    <w:rsid w:val="00414267"/>
    <w:rsid w:val="0041429F"/>
    <w:rsid w:val="004142A7"/>
    <w:rsid w:val="004143BE"/>
    <w:rsid w:val="00414781"/>
    <w:rsid w:val="00414864"/>
    <w:rsid w:val="004148CD"/>
    <w:rsid w:val="00414942"/>
    <w:rsid w:val="00414A72"/>
    <w:rsid w:val="00414CD4"/>
    <w:rsid w:val="00414D2C"/>
    <w:rsid w:val="00414D38"/>
    <w:rsid w:val="00414EEA"/>
    <w:rsid w:val="00414FB5"/>
    <w:rsid w:val="00414FC1"/>
    <w:rsid w:val="00415000"/>
    <w:rsid w:val="00415193"/>
    <w:rsid w:val="004151B3"/>
    <w:rsid w:val="004152DA"/>
    <w:rsid w:val="0041537E"/>
    <w:rsid w:val="004153E9"/>
    <w:rsid w:val="00415532"/>
    <w:rsid w:val="004156D3"/>
    <w:rsid w:val="004156E6"/>
    <w:rsid w:val="00415756"/>
    <w:rsid w:val="00415822"/>
    <w:rsid w:val="00415859"/>
    <w:rsid w:val="004159AE"/>
    <w:rsid w:val="00415A30"/>
    <w:rsid w:val="00415A8D"/>
    <w:rsid w:val="00415C7B"/>
    <w:rsid w:val="00415CB9"/>
    <w:rsid w:val="00415E1C"/>
    <w:rsid w:val="00415E91"/>
    <w:rsid w:val="00415EAC"/>
    <w:rsid w:val="0041616A"/>
    <w:rsid w:val="0041628E"/>
    <w:rsid w:val="004163CF"/>
    <w:rsid w:val="00416477"/>
    <w:rsid w:val="004164CE"/>
    <w:rsid w:val="00416CA5"/>
    <w:rsid w:val="00416EB1"/>
    <w:rsid w:val="00417024"/>
    <w:rsid w:val="0041703F"/>
    <w:rsid w:val="0041727A"/>
    <w:rsid w:val="004172A6"/>
    <w:rsid w:val="004172AE"/>
    <w:rsid w:val="00417320"/>
    <w:rsid w:val="00417375"/>
    <w:rsid w:val="0041756B"/>
    <w:rsid w:val="00417603"/>
    <w:rsid w:val="004177C1"/>
    <w:rsid w:val="0041786A"/>
    <w:rsid w:val="00417881"/>
    <w:rsid w:val="00417968"/>
    <w:rsid w:val="00417A8F"/>
    <w:rsid w:val="00417AF2"/>
    <w:rsid w:val="00417B47"/>
    <w:rsid w:val="00417BD5"/>
    <w:rsid w:val="00417CBE"/>
    <w:rsid w:val="00417D98"/>
    <w:rsid w:val="00417EB7"/>
    <w:rsid w:val="00417F84"/>
    <w:rsid w:val="00420045"/>
    <w:rsid w:val="00420245"/>
    <w:rsid w:val="00420265"/>
    <w:rsid w:val="0042057A"/>
    <w:rsid w:val="004207EB"/>
    <w:rsid w:val="004208AA"/>
    <w:rsid w:val="00420937"/>
    <w:rsid w:val="00420A27"/>
    <w:rsid w:val="00420B6D"/>
    <w:rsid w:val="00420BE6"/>
    <w:rsid w:val="00420CCA"/>
    <w:rsid w:val="00420CED"/>
    <w:rsid w:val="00420F09"/>
    <w:rsid w:val="00420F5C"/>
    <w:rsid w:val="00420F69"/>
    <w:rsid w:val="00420F97"/>
    <w:rsid w:val="00421127"/>
    <w:rsid w:val="0042117F"/>
    <w:rsid w:val="00421285"/>
    <w:rsid w:val="00421505"/>
    <w:rsid w:val="00421564"/>
    <w:rsid w:val="004215AE"/>
    <w:rsid w:val="0042165D"/>
    <w:rsid w:val="00421692"/>
    <w:rsid w:val="004216DF"/>
    <w:rsid w:val="004218D9"/>
    <w:rsid w:val="00421BF4"/>
    <w:rsid w:val="00421E9F"/>
    <w:rsid w:val="004222BF"/>
    <w:rsid w:val="0042244A"/>
    <w:rsid w:val="0042274C"/>
    <w:rsid w:val="00422924"/>
    <w:rsid w:val="00422978"/>
    <w:rsid w:val="00422A2F"/>
    <w:rsid w:val="00422A44"/>
    <w:rsid w:val="00422BA3"/>
    <w:rsid w:val="00422FE0"/>
    <w:rsid w:val="004231C3"/>
    <w:rsid w:val="0042328B"/>
    <w:rsid w:val="004237F5"/>
    <w:rsid w:val="00423850"/>
    <w:rsid w:val="00423A38"/>
    <w:rsid w:val="00423D53"/>
    <w:rsid w:val="00423E6B"/>
    <w:rsid w:val="00423E79"/>
    <w:rsid w:val="004240E4"/>
    <w:rsid w:val="00424229"/>
    <w:rsid w:val="004242A2"/>
    <w:rsid w:val="0042434E"/>
    <w:rsid w:val="004243EB"/>
    <w:rsid w:val="004243FA"/>
    <w:rsid w:val="00424736"/>
    <w:rsid w:val="00424A1D"/>
    <w:rsid w:val="00424A29"/>
    <w:rsid w:val="00424AA9"/>
    <w:rsid w:val="00424E1A"/>
    <w:rsid w:val="00424EAE"/>
    <w:rsid w:val="00424F0D"/>
    <w:rsid w:val="00425677"/>
    <w:rsid w:val="004256A3"/>
    <w:rsid w:val="00425D1B"/>
    <w:rsid w:val="00425E2B"/>
    <w:rsid w:val="00425EA2"/>
    <w:rsid w:val="00426053"/>
    <w:rsid w:val="00426128"/>
    <w:rsid w:val="0042624B"/>
    <w:rsid w:val="00426438"/>
    <w:rsid w:val="00426440"/>
    <w:rsid w:val="00426558"/>
    <w:rsid w:val="004265A8"/>
    <w:rsid w:val="00426B3E"/>
    <w:rsid w:val="00426BA7"/>
    <w:rsid w:val="00426BE2"/>
    <w:rsid w:val="00426BFE"/>
    <w:rsid w:val="00426C93"/>
    <w:rsid w:val="00426CAA"/>
    <w:rsid w:val="00426CF8"/>
    <w:rsid w:val="00426DDA"/>
    <w:rsid w:val="004270C9"/>
    <w:rsid w:val="004271A0"/>
    <w:rsid w:val="004272DD"/>
    <w:rsid w:val="00427388"/>
    <w:rsid w:val="00427439"/>
    <w:rsid w:val="00427577"/>
    <w:rsid w:val="00427774"/>
    <w:rsid w:val="00427897"/>
    <w:rsid w:val="00427AB8"/>
    <w:rsid w:val="00427CEC"/>
    <w:rsid w:val="00427DF1"/>
    <w:rsid w:val="00427E15"/>
    <w:rsid w:val="00427ECD"/>
    <w:rsid w:val="0043009E"/>
    <w:rsid w:val="00430108"/>
    <w:rsid w:val="004301F7"/>
    <w:rsid w:val="0043048D"/>
    <w:rsid w:val="004304BF"/>
    <w:rsid w:val="004304C0"/>
    <w:rsid w:val="00430720"/>
    <w:rsid w:val="00430B76"/>
    <w:rsid w:val="00430CE5"/>
    <w:rsid w:val="00430D29"/>
    <w:rsid w:val="00430F64"/>
    <w:rsid w:val="0043105E"/>
    <w:rsid w:val="0043107A"/>
    <w:rsid w:val="004310C0"/>
    <w:rsid w:val="0043116D"/>
    <w:rsid w:val="00431369"/>
    <w:rsid w:val="00431440"/>
    <w:rsid w:val="0043165E"/>
    <w:rsid w:val="004316F0"/>
    <w:rsid w:val="004316FA"/>
    <w:rsid w:val="0043179A"/>
    <w:rsid w:val="00431A27"/>
    <w:rsid w:val="00431B26"/>
    <w:rsid w:val="00431B48"/>
    <w:rsid w:val="00431D08"/>
    <w:rsid w:val="00432363"/>
    <w:rsid w:val="004324E0"/>
    <w:rsid w:val="004326EF"/>
    <w:rsid w:val="004327B5"/>
    <w:rsid w:val="004328DB"/>
    <w:rsid w:val="00432B6D"/>
    <w:rsid w:val="00432DFD"/>
    <w:rsid w:val="00432F67"/>
    <w:rsid w:val="00433054"/>
    <w:rsid w:val="004331F8"/>
    <w:rsid w:val="0043326E"/>
    <w:rsid w:val="004333FC"/>
    <w:rsid w:val="00433625"/>
    <w:rsid w:val="00433637"/>
    <w:rsid w:val="00433646"/>
    <w:rsid w:val="004336B8"/>
    <w:rsid w:val="004336E2"/>
    <w:rsid w:val="00433B8E"/>
    <w:rsid w:val="00433C18"/>
    <w:rsid w:val="00433DFA"/>
    <w:rsid w:val="00433F19"/>
    <w:rsid w:val="00433FA2"/>
    <w:rsid w:val="00434020"/>
    <w:rsid w:val="00434043"/>
    <w:rsid w:val="004340DF"/>
    <w:rsid w:val="00434190"/>
    <w:rsid w:val="00434530"/>
    <w:rsid w:val="004345BD"/>
    <w:rsid w:val="00434AC4"/>
    <w:rsid w:val="00434BD9"/>
    <w:rsid w:val="00434C00"/>
    <w:rsid w:val="00434C9B"/>
    <w:rsid w:val="00434F08"/>
    <w:rsid w:val="00435268"/>
    <w:rsid w:val="004352F1"/>
    <w:rsid w:val="004352F2"/>
    <w:rsid w:val="004353EA"/>
    <w:rsid w:val="004354D5"/>
    <w:rsid w:val="004354F3"/>
    <w:rsid w:val="00435530"/>
    <w:rsid w:val="0043555B"/>
    <w:rsid w:val="00435A3A"/>
    <w:rsid w:val="00435B31"/>
    <w:rsid w:val="00435B3F"/>
    <w:rsid w:val="00435BDF"/>
    <w:rsid w:val="00435C46"/>
    <w:rsid w:val="00436046"/>
    <w:rsid w:val="004360C9"/>
    <w:rsid w:val="00436281"/>
    <w:rsid w:val="004362BD"/>
    <w:rsid w:val="0043633C"/>
    <w:rsid w:val="00436357"/>
    <w:rsid w:val="004363F0"/>
    <w:rsid w:val="00436528"/>
    <w:rsid w:val="004366E9"/>
    <w:rsid w:val="0043673C"/>
    <w:rsid w:val="00436759"/>
    <w:rsid w:val="0043685E"/>
    <w:rsid w:val="004368CE"/>
    <w:rsid w:val="004369C1"/>
    <w:rsid w:val="00436AE1"/>
    <w:rsid w:val="00436B3A"/>
    <w:rsid w:val="00436C19"/>
    <w:rsid w:val="00436D8D"/>
    <w:rsid w:val="00437001"/>
    <w:rsid w:val="00437110"/>
    <w:rsid w:val="004371E9"/>
    <w:rsid w:val="004371F7"/>
    <w:rsid w:val="004371FE"/>
    <w:rsid w:val="004374CA"/>
    <w:rsid w:val="00437501"/>
    <w:rsid w:val="00437547"/>
    <w:rsid w:val="004375DD"/>
    <w:rsid w:val="0043762A"/>
    <w:rsid w:val="0043774E"/>
    <w:rsid w:val="00437893"/>
    <w:rsid w:val="00437A69"/>
    <w:rsid w:val="00437BA9"/>
    <w:rsid w:val="00437CBB"/>
    <w:rsid w:val="00440045"/>
    <w:rsid w:val="004400A2"/>
    <w:rsid w:val="00440184"/>
    <w:rsid w:val="00440958"/>
    <w:rsid w:val="0044097C"/>
    <w:rsid w:val="0044097F"/>
    <w:rsid w:val="004409EE"/>
    <w:rsid w:val="00440C31"/>
    <w:rsid w:val="00440C4C"/>
    <w:rsid w:val="00440CE7"/>
    <w:rsid w:val="00440D6D"/>
    <w:rsid w:val="00440F36"/>
    <w:rsid w:val="004410FF"/>
    <w:rsid w:val="0044111A"/>
    <w:rsid w:val="0044137B"/>
    <w:rsid w:val="00441568"/>
    <w:rsid w:val="004415AD"/>
    <w:rsid w:val="0044161B"/>
    <w:rsid w:val="004416A1"/>
    <w:rsid w:val="0044171F"/>
    <w:rsid w:val="00441751"/>
    <w:rsid w:val="0044183D"/>
    <w:rsid w:val="00441B36"/>
    <w:rsid w:val="00441C29"/>
    <w:rsid w:val="00441C61"/>
    <w:rsid w:val="00441CA5"/>
    <w:rsid w:val="00441EB5"/>
    <w:rsid w:val="00442009"/>
    <w:rsid w:val="00442061"/>
    <w:rsid w:val="00442109"/>
    <w:rsid w:val="00442246"/>
    <w:rsid w:val="0044232D"/>
    <w:rsid w:val="00442399"/>
    <w:rsid w:val="00442817"/>
    <w:rsid w:val="004428D3"/>
    <w:rsid w:val="00442AB5"/>
    <w:rsid w:val="00442C59"/>
    <w:rsid w:val="00442CB6"/>
    <w:rsid w:val="00442CDF"/>
    <w:rsid w:val="00443074"/>
    <w:rsid w:val="004430C5"/>
    <w:rsid w:val="00443105"/>
    <w:rsid w:val="00443149"/>
    <w:rsid w:val="00443412"/>
    <w:rsid w:val="00443425"/>
    <w:rsid w:val="00443661"/>
    <w:rsid w:val="0044371B"/>
    <w:rsid w:val="00443A62"/>
    <w:rsid w:val="00443E21"/>
    <w:rsid w:val="00443E4A"/>
    <w:rsid w:val="00444042"/>
    <w:rsid w:val="0044419E"/>
    <w:rsid w:val="00444381"/>
    <w:rsid w:val="004445D3"/>
    <w:rsid w:val="004445D9"/>
    <w:rsid w:val="00444703"/>
    <w:rsid w:val="004448B9"/>
    <w:rsid w:val="00444C97"/>
    <w:rsid w:val="00444CC6"/>
    <w:rsid w:val="00444ECB"/>
    <w:rsid w:val="00444F12"/>
    <w:rsid w:val="0044515D"/>
    <w:rsid w:val="00445237"/>
    <w:rsid w:val="0044543F"/>
    <w:rsid w:val="00445710"/>
    <w:rsid w:val="00445752"/>
    <w:rsid w:val="004457CE"/>
    <w:rsid w:val="004457DC"/>
    <w:rsid w:val="004458F5"/>
    <w:rsid w:val="00445901"/>
    <w:rsid w:val="004459B6"/>
    <w:rsid w:val="004459E9"/>
    <w:rsid w:val="00445B66"/>
    <w:rsid w:val="00445CFD"/>
    <w:rsid w:val="00445DED"/>
    <w:rsid w:val="00445F29"/>
    <w:rsid w:val="00446000"/>
    <w:rsid w:val="00446042"/>
    <w:rsid w:val="00446102"/>
    <w:rsid w:val="004463D7"/>
    <w:rsid w:val="0044640F"/>
    <w:rsid w:val="004466E9"/>
    <w:rsid w:val="00446855"/>
    <w:rsid w:val="004468A6"/>
    <w:rsid w:val="0044694B"/>
    <w:rsid w:val="004469CB"/>
    <w:rsid w:val="00446CBE"/>
    <w:rsid w:val="00447113"/>
    <w:rsid w:val="00447171"/>
    <w:rsid w:val="004472E7"/>
    <w:rsid w:val="00447380"/>
    <w:rsid w:val="0044772C"/>
    <w:rsid w:val="004478D1"/>
    <w:rsid w:val="00447A02"/>
    <w:rsid w:val="00447B15"/>
    <w:rsid w:val="00447B31"/>
    <w:rsid w:val="00447BC6"/>
    <w:rsid w:val="00447BF8"/>
    <w:rsid w:val="00447C2C"/>
    <w:rsid w:val="00447C49"/>
    <w:rsid w:val="00447E4F"/>
    <w:rsid w:val="00447E6F"/>
    <w:rsid w:val="00447F73"/>
    <w:rsid w:val="00447FAB"/>
    <w:rsid w:val="0045017F"/>
    <w:rsid w:val="00450194"/>
    <w:rsid w:val="004502CC"/>
    <w:rsid w:val="004502E7"/>
    <w:rsid w:val="00450341"/>
    <w:rsid w:val="00450350"/>
    <w:rsid w:val="0045046E"/>
    <w:rsid w:val="00450485"/>
    <w:rsid w:val="004504AB"/>
    <w:rsid w:val="00450568"/>
    <w:rsid w:val="004508C1"/>
    <w:rsid w:val="004508D3"/>
    <w:rsid w:val="00450F16"/>
    <w:rsid w:val="0045124C"/>
    <w:rsid w:val="004512B2"/>
    <w:rsid w:val="00451389"/>
    <w:rsid w:val="0045156B"/>
    <w:rsid w:val="004519BB"/>
    <w:rsid w:val="00451ABE"/>
    <w:rsid w:val="00451B02"/>
    <w:rsid w:val="00451D25"/>
    <w:rsid w:val="00451DF4"/>
    <w:rsid w:val="0045207F"/>
    <w:rsid w:val="004521CD"/>
    <w:rsid w:val="004521EF"/>
    <w:rsid w:val="00452210"/>
    <w:rsid w:val="0045224B"/>
    <w:rsid w:val="00452638"/>
    <w:rsid w:val="00452925"/>
    <w:rsid w:val="00452A33"/>
    <w:rsid w:val="00452C60"/>
    <w:rsid w:val="00452D33"/>
    <w:rsid w:val="0045308A"/>
    <w:rsid w:val="004530C3"/>
    <w:rsid w:val="004530FC"/>
    <w:rsid w:val="0045319E"/>
    <w:rsid w:val="0045343B"/>
    <w:rsid w:val="00453537"/>
    <w:rsid w:val="004535F2"/>
    <w:rsid w:val="00453630"/>
    <w:rsid w:val="0045363D"/>
    <w:rsid w:val="004536F7"/>
    <w:rsid w:val="0045381E"/>
    <w:rsid w:val="00453AAF"/>
    <w:rsid w:val="00453BE2"/>
    <w:rsid w:val="00453F88"/>
    <w:rsid w:val="00454053"/>
    <w:rsid w:val="004540F0"/>
    <w:rsid w:val="00454123"/>
    <w:rsid w:val="00454273"/>
    <w:rsid w:val="0045431F"/>
    <w:rsid w:val="0045443D"/>
    <w:rsid w:val="00454532"/>
    <w:rsid w:val="00454558"/>
    <w:rsid w:val="004545A4"/>
    <w:rsid w:val="00454663"/>
    <w:rsid w:val="004546FB"/>
    <w:rsid w:val="0045471D"/>
    <w:rsid w:val="00454814"/>
    <w:rsid w:val="0045486F"/>
    <w:rsid w:val="004549AE"/>
    <w:rsid w:val="00454C0C"/>
    <w:rsid w:val="00454D14"/>
    <w:rsid w:val="00454E3E"/>
    <w:rsid w:val="00455083"/>
    <w:rsid w:val="004556A1"/>
    <w:rsid w:val="004560BF"/>
    <w:rsid w:val="004560E6"/>
    <w:rsid w:val="004560F8"/>
    <w:rsid w:val="004561C4"/>
    <w:rsid w:val="004561EC"/>
    <w:rsid w:val="00456229"/>
    <w:rsid w:val="0045626E"/>
    <w:rsid w:val="004562A8"/>
    <w:rsid w:val="004564D8"/>
    <w:rsid w:val="004565B5"/>
    <w:rsid w:val="0045679B"/>
    <w:rsid w:val="0045681D"/>
    <w:rsid w:val="00456887"/>
    <w:rsid w:val="00456890"/>
    <w:rsid w:val="0045698B"/>
    <w:rsid w:val="00456AB6"/>
    <w:rsid w:val="00456AEC"/>
    <w:rsid w:val="00456B61"/>
    <w:rsid w:val="00456E25"/>
    <w:rsid w:val="00456F7A"/>
    <w:rsid w:val="00456FAF"/>
    <w:rsid w:val="00457581"/>
    <w:rsid w:val="00457815"/>
    <w:rsid w:val="0045785D"/>
    <w:rsid w:val="00457898"/>
    <w:rsid w:val="00457CE5"/>
    <w:rsid w:val="00457D4A"/>
    <w:rsid w:val="00457F6B"/>
    <w:rsid w:val="0046000B"/>
    <w:rsid w:val="00460351"/>
    <w:rsid w:val="00460497"/>
    <w:rsid w:val="004604D3"/>
    <w:rsid w:val="004604E4"/>
    <w:rsid w:val="004604E9"/>
    <w:rsid w:val="004605BB"/>
    <w:rsid w:val="004605CE"/>
    <w:rsid w:val="0046075F"/>
    <w:rsid w:val="004607C7"/>
    <w:rsid w:val="004608F2"/>
    <w:rsid w:val="00460A61"/>
    <w:rsid w:val="00460A88"/>
    <w:rsid w:val="00460C20"/>
    <w:rsid w:val="00460E1D"/>
    <w:rsid w:val="00460EF9"/>
    <w:rsid w:val="00460F26"/>
    <w:rsid w:val="00460FB3"/>
    <w:rsid w:val="0046109A"/>
    <w:rsid w:val="0046114D"/>
    <w:rsid w:val="004611D5"/>
    <w:rsid w:val="00461284"/>
    <w:rsid w:val="0046144E"/>
    <w:rsid w:val="00461499"/>
    <w:rsid w:val="004615A1"/>
    <w:rsid w:val="0046160E"/>
    <w:rsid w:val="00461780"/>
    <w:rsid w:val="004618CC"/>
    <w:rsid w:val="004618EC"/>
    <w:rsid w:val="00461AD2"/>
    <w:rsid w:val="00461B42"/>
    <w:rsid w:val="00461CAC"/>
    <w:rsid w:val="00461E3F"/>
    <w:rsid w:val="00461E6F"/>
    <w:rsid w:val="00461FA4"/>
    <w:rsid w:val="00462034"/>
    <w:rsid w:val="0046220D"/>
    <w:rsid w:val="0046226A"/>
    <w:rsid w:val="004623D0"/>
    <w:rsid w:val="004623F3"/>
    <w:rsid w:val="00462423"/>
    <w:rsid w:val="004625D6"/>
    <w:rsid w:val="00462CFF"/>
    <w:rsid w:val="00462F1F"/>
    <w:rsid w:val="00462FDB"/>
    <w:rsid w:val="0046328E"/>
    <w:rsid w:val="00463656"/>
    <w:rsid w:val="004636BE"/>
    <w:rsid w:val="0046378A"/>
    <w:rsid w:val="0046389A"/>
    <w:rsid w:val="00463966"/>
    <w:rsid w:val="00463CB0"/>
    <w:rsid w:val="00463CB5"/>
    <w:rsid w:val="00463CB7"/>
    <w:rsid w:val="00463D5E"/>
    <w:rsid w:val="00463DA9"/>
    <w:rsid w:val="00463DBE"/>
    <w:rsid w:val="00463E82"/>
    <w:rsid w:val="00463EEB"/>
    <w:rsid w:val="00463F20"/>
    <w:rsid w:val="00463F5B"/>
    <w:rsid w:val="00463FC1"/>
    <w:rsid w:val="004640C9"/>
    <w:rsid w:val="0046421E"/>
    <w:rsid w:val="00464289"/>
    <w:rsid w:val="004644AD"/>
    <w:rsid w:val="00464532"/>
    <w:rsid w:val="00464631"/>
    <w:rsid w:val="0046466E"/>
    <w:rsid w:val="00464837"/>
    <w:rsid w:val="0046484E"/>
    <w:rsid w:val="00464867"/>
    <w:rsid w:val="0046499A"/>
    <w:rsid w:val="00464A25"/>
    <w:rsid w:val="00464AAF"/>
    <w:rsid w:val="00464B66"/>
    <w:rsid w:val="00464B6D"/>
    <w:rsid w:val="00464BB5"/>
    <w:rsid w:val="00464C02"/>
    <w:rsid w:val="0046510D"/>
    <w:rsid w:val="0046523F"/>
    <w:rsid w:val="004652FD"/>
    <w:rsid w:val="00465407"/>
    <w:rsid w:val="004654AE"/>
    <w:rsid w:val="00465567"/>
    <w:rsid w:val="004656CD"/>
    <w:rsid w:val="00465750"/>
    <w:rsid w:val="004658B9"/>
    <w:rsid w:val="0046599D"/>
    <w:rsid w:val="00465A20"/>
    <w:rsid w:val="00465A5D"/>
    <w:rsid w:val="00465B31"/>
    <w:rsid w:val="00466085"/>
    <w:rsid w:val="00466098"/>
    <w:rsid w:val="00466275"/>
    <w:rsid w:val="0046627D"/>
    <w:rsid w:val="0046639E"/>
    <w:rsid w:val="004664C2"/>
    <w:rsid w:val="00466538"/>
    <w:rsid w:val="00466564"/>
    <w:rsid w:val="004665B9"/>
    <w:rsid w:val="004666BA"/>
    <w:rsid w:val="00466756"/>
    <w:rsid w:val="00466758"/>
    <w:rsid w:val="00466801"/>
    <w:rsid w:val="00466884"/>
    <w:rsid w:val="004669F5"/>
    <w:rsid w:val="00466BCC"/>
    <w:rsid w:val="00466C9E"/>
    <w:rsid w:val="00466F8F"/>
    <w:rsid w:val="004670A0"/>
    <w:rsid w:val="004670EE"/>
    <w:rsid w:val="004672A2"/>
    <w:rsid w:val="00467543"/>
    <w:rsid w:val="0046759C"/>
    <w:rsid w:val="00467652"/>
    <w:rsid w:val="00467925"/>
    <w:rsid w:val="00467AD5"/>
    <w:rsid w:val="00467B9D"/>
    <w:rsid w:val="00467BBB"/>
    <w:rsid w:val="00467DE7"/>
    <w:rsid w:val="00467E24"/>
    <w:rsid w:val="00467E3C"/>
    <w:rsid w:val="00467F16"/>
    <w:rsid w:val="00467F2B"/>
    <w:rsid w:val="00467F67"/>
    <w:rsid w:val="00467FA0"/>
    <w:rsid w:val="0047018B"/>
    <w:rsid w:val="0047039A"/>
    <w:rsid w:val="004703D5"/>
    <w:rsid w:val="004705E3"/>
    <w:rsid w:val="004707D0"/>
    <w:rsid w:val="00470929"/>
    <w:rsid w:val="00470A19"/>
    <w:rsid w:val="00470BBE"/>
    <w:rsid w:val="00470CB3"/>
    <w:rsid w:val="00470CBF"/>
    <w:rsid w:val="00470F6F"/>
    <w:rsid w:val="00471156"/>
    <w:rsid w:val="004712E2"/>
    <w:rsid w:val="004714FA"/>
    <w:rsid w:val="00471634"/>
    <w:rsid w:val="0047166D"/>
    <w:rsid w:val="00471808"/>
    <w:rsid w:val="00471A2D"/>
    <w:rsid w:val="00471CAE"/>
    <w:rsid w:val="00471FD7"/>
    <w:rsid w:val="00472037"/>
    <w:rsid w:val="0047227A"/>
    <w:rsid w:val="004723BA"/>
    <w:rsid w:val="004723CD"/>
    <w:rsid w:val="00472472"/>
    <w:rsid w:val="0047251B"/>
    <w:rsid w:val="00472657"/>
    <w:rsid w:val="00472666"/>
    <w:rsid w:val="004727CF"/>
    <w:rsid w:val="004727EC"/>
    <w:rsid w:val="00472A54"/>
    <w:rsid w:val="00472B02"/>
    <w:rsid w:val="00472C07"/>
    <w:rsid w:val="00472D51"/>
    <w:rsid w:val="00472DA8"/>
    <w:rsid w:val="00472ED9"/>
    <w:rsid w:val="00472F1C"/>
    <w:rsid w:val="004731A2"/>
    <w:rsid w:val="00473200"/>
    <w:rsid w:val="00473337"/>
    <w:rsid w:val="00473441"/>
    <w:rsid w:val="004734DB"/>
    <w:rsid w:val="004735F1"/>
    <w:rsid w:val="0047367A"/>
    <w:rsid w:val="004737A8"/>
    <w:rsid w:val="00473821"/>
    <w:rsid w:val="00473B85"/>
    <w:rsid w:val="00473BDC"/>
    <w:rsid w:val="00473D08"/>
    <w:rsid w:val="00473D7E"/>
    <w:rsid w:val="00473DAD"/>
    <w:rsid w:val="00474039"/>
    <w:rsid w:val="00474094"/>
    <w:rsid w:val="004740BD"/>
    <w:rsid w:val="00474219"/>
    <w:rsid w:val="00474362"/>
    <w:rsid w:val="004744A7"/>
    <w:rsid w:val="00474FD7"/>
    <w:rsid w:val="00475124"/>
    <w:rsid w:val="00475564"/>
    <w:rsid w:val="00475AFF"/>
    <w:rsid w:val="00475BB2"/>
    <w:rsid w:val="00475E93"/>
    <w:rsid w:val="00475F1C"/>
    <w:rsid w:val="00475F1F"/>
    <w:rsid w:val="00475F3E"/>
    <w:rsid w:val="00475FB7"/>
    <w:rsid w:val="0047616E"/>
    <w:rsid w:val="004761E7"/>
    <w:rsid w:val="004762B3"/>
    <w:rsid w:val="004762C7"/>
    <w:rsid w:val="0047643A"/>
    <w:rsid w:val="004765A5"/>
    <w:rsid w:val="0047665A"/>
    <w:rsid w:val="0047668C"/>
    <w:rsid w:val="0047668E"/>
    <w:rsid w:val="00476712"/>
    <w:rsid w:val="00476879"/>
    <w:rsid w:val="00476A0A"/>
    <w:rsid w:val="00476B52"/>
    <w:rsid w:val="00476D5B"/>
    <w:rsid w:val="00476D6A"/>
    <w:rsid w:val="00477223"/>
    <w:rsid w:val="0047733A"/>
    <w:rsid w:val="00477431"/>
    <w:rsid w:val="00477606"/>
    <w:rsid w:val="00477613"/>
    <w:rsid w:val="004777BC"/>
    <w:rsid w:val="0047781B"/>
    <w:rsid w:val="004779AE"/>
    <w:rsid w:val="00477A6D"/>
    <w:rsid w:val="00477C6A"/>
    <w:rsid w:val="00477F30"/>
    <w:rsid w:val="004802B9"/>
    <w:rsid w:val="00480307"/>
    <w:rsid w:val="0048037D"/>
    <w:rsid w:val="004803B1"/>
    <w:rsid w:val="00480551"/>
    <w:rsid w:val="0048058D"/>
    <w:rsid w:val="00480599"/>
    <w:rsid w:val="00480627"/>
    <w:rsid w:val="0048073B"/>
    <w:rsid w:val="004808DE"/>
    <w:rsid w:val="004808F0"/>
    <w:rsid w:val="004809BC"/>
    <w:rsid w:val="004809D9"/>
    <w:rsid w:val="00480B94"/>
    <w:rsid w:val="00480E15"/>
    <w:rsid w:val="00480E2E"/>
    <w:rsid w:val="004810FB"/>
    <w:rsid w:val="004814B8"/>
    <w:rsid w:val="004816EA"/>
    <w:rsid w:val="004816EF"/>
    <w:rsid w:val="00481707"/>
    <w:rsid w:val="00481B5B"/>
    <w:rsid w:val="00481B69"/>
    <w:rsid w:val="00481BEF"/>
    <w:rsid w:val="00481CC2"/>
    <w:rsid w:val="00481CC3"/>
    <w:rsid w:val="00481EBB"/>
    <w:rsid w:val="00481EC1"/>
    <w:rsid w:val="00482045"/>
    <w:rsid w:val="0048212C"/>
    <w:rsid w:val="004821F8"/>
    <w:rsid w:val="0048248B"/>
    <w:rsid w:val="004824BA"/>
    <w:rsid w:val="00482511"/>
    <w:rsid w:val="00482588"/>
    <w:rsid w:val="00482600"/>
    <w:rsid w:val="004826A2"/>
    <w:rsid w:val="0048295B"/>
    <w:rsid w:val="00482C8F"/>
    <w:rsid w:val="00482E6F"/>
    <w:rsid w:val="00482F0B"/>
    <w:rsid w:val="00483114"/>
    <w:rsid w:val="0048322B"/>
    <w:rsid w:val="00483299"/>
    <w:rsid w:val="00483460"/>
    <w:rsid w:val="004834B9"/>
    <w:rsid w:val="00483C41"/>
    <w:rsid w:val="00483CD3"/>
    <w:rsid w:val="00483D2E"/>
    <w:rsid w:val="00483F2F"/>
    <w:rsid w:val="00484047"/>
    <w:rsid w:val="0048426A"/>
    <w:rsid w:val="004842DE"/>
    <w:rsid w:val="00484353"/>
    <w:rsid w:val="004843CD"/>
    <w:rsid w:val="004843E1"/>
    <w:rsid w:val="00484846"/>
    <w:rsid w:val="0048498E"/>
    <w:rsid w:val="004849CF"/>
    <w:rsid w:val="004849DC"/>
    <w:rsid w:val="004849E2"/>
    <w:rsid w:val="00484A67"/>
    <w:rsid w:val="00484C4E"/>
    <w:rsid w:val="00485140"/>
    <w:rsid w:val="004851C3"/>
    <w:rsid w:val="00485382"/>
    <w:rsid w:val="0048553A"/>
    <w:rsid w:val="004855F7"/>
    <w:rsid w:val="0048571F"/>
    <w:rsid w:val="0048577D"/>
    <w:rsid w:val="0048581E"/>
    <w:rsid w:val="00485BCE"/>
    <w:rsid w:val="004860A7"/>
    <w:rsid w:val="00486270"/>
    <w:rsid w:val="0048631F"/>
    <w:rsid w:val="004864FE"/>
    <w:rsid w:val="0048690F"/>
    <w:rsid w:val="0048691A"/>
    <w:rsid w:val="00486B16"/>
    <w:rsid w:val="00486B1C"/>
    <w:rsid w:val="00486B26"/>
    <w:rsid w:val="00486B41"/>
    <w:rsid w:val="00486D22"/>
    <w:rsid w:val="00486DEC"/>
    <w:rsid w:val="00486E15"/>
    <w:rsid w:val="00486F2E"/>
    <w:rsid w:val="00487265"/>
    <w:rsid w:val="004872BD"/>
    <w:rsid w:val="00487566"/>
    <w:rsid w:val="00487918"/>
    <w:rsid w:val="00487967"/>
    <w:rsid w:val="00487C97"/>
    <w:rsid w:val="00487CE3"/>
    <w:rsid w:val="00487D83"/>
    <w:rsid w:val="00487DFA"/>
    <w:rsid w:val="00487E07"/>
    <w:rsid w:val="00487F51"/>
    <w:rsid w:val="0049001B"/>
    <w:rsid w:val="004902D1"/>
    <w:rsid w:val="00490337"/>
    <w:rsid w:val="0049035C"/>
    <w:rsid w:val="004905CD"/>
    <w:rsid w:val="00490781"/>
    <w:rsid w:val="00490BD7"/>
    <w:rsid w:val="00490CE7"/>
    <w:rsid w:val="00490D7A"/>
    <w:rsid w:val="00490E73"/>
    <w:rsid w:val="00490E80"/>
    <w:rsid w:val="0049120E"/>
    <w:rsid w:val="00491318"/>
    <w:rsid w:val="004913EB"/>
    <w:rsid w:val="004915F9"/>
    <w:rsid w:val="00491631"/>
    <w:rsid w:val="004917CD"/>
    <w:rsid w:val="004918C9"/>
    <w:rsid w:val="0049194D"/>
    <w:rsid w:val="00491978"/>
    <w:rsid w:val="00491A77"/>
    <w:rsid w:val="00491CE2"/>
    <w:rsid w:val="00491D5D"/>
    <w:rsid w:val="00491E2A"/>
    <w:rsid w:val="00491ED9"/>
    <w:rsid w:val="00491F97"/>
    <w:rsid w:val="00491FBA"/>
    <w:rsid w:val="00492098"/>
    <w:rsid w:val="004926FE"/>
    <w:rsid w:val="00492714"/>
    <w:rsid w:val="00492785"/>
    <w:rsid w:val="00492A5C"/>
    <w:rsid w:val="00492A68"/>
    <w:rsid w:val="00492C04"/>
    <w:rsid w:val="00492C8A"/>
    <w:rsid w:val="00492C94"/>
    <w:rsid w:val="00492CC2"/>
    <w:rsid w:val="00492DC6"/>
    <w:rsid w:val="00492E0A"/>
    <w:rsid w:val="0049303B"/>
    <w:rsid w:val="00493043"/>
    <w:rsid w:val="004931E2"/>
    <w:rsid w:val="0049322D"/>
    <w:rsid w:val="0049335C"/>
    <w:rsid w:val="00493548"/>
    <w:rsid w:val="004935A9"/>
    <w:rsid w:val="0049366A"/>
    <w:rsid w:val="00493683"/>
    <w:rsid w:val="004937B7"/>
    <w:rsid w:val="00493883"/>
    <w:rsid w:val="00493897"/>
    <w:rsid w:val="00493933"/>
    <w:rsid w:val="004939B3"/>
    <w:rsid w:val="004939F5"/>
    <w:rsid w:val="00493BBD"/>
    <w:rsid w:val="00493E2C"/>
    <w:rsid w:val="00493F27"/>
    <w:rsid w:val="00494019"/>
    <w:rsid w:val="004944F4"/>
    <w:rsid w:val="00494546"/>
    <w:rsid w:val="00494550"/>
    <w:rsid w:val="004945EB"/>
    <w:rsid w:val="004947EC"/>
    <w:rsid w:val="004947EE"/>
    <w:rsid w:val="00494868"/>
    <w:rsid w:val="00494881"/>
    <w:rsid w:val="004948D3"/>
    <w:rsid w:val="00494ACB"/>
    <w:rsid w:val="00494B21"/>
    <w:rsid w:val="00494CD8"/>
    <w:rsid w:val="00494F50"/>
    <w:rsid w:val="00494FD5"/>
    <w:rsid w:val="004950F7"/>
    <w:rsid w:val="004951B6"/>
    <w:rsid w:val="0049548D"/>
    <w:rsid w:val="004954C1"/>
    <w:rsid w:val="0049555E"/>
    <w:rsid w:val="00495730"/>
    <w:rsid w:val="00495AA3"/>
    <w:rsid w:val="00495AF8"/>
    <w:rsid w:val="00495BE9"/>
    <w:rsid w:val="004960AD"/>
    <w:rsid w:val="004960F0"/>
    <w:rsid w:val="00496109"/>
    <w:rsid w:val="004962AF"/>
    <w:rsid w:val="004962D9"/>
    <w:rsid w:val="00496347"/>
    <w:rsid w:val="004963ED"/>
    <w:rsid w:val="00496401"/>
    <w:rsid w:val="004964C1"/>
    <w:rsid w:val="00496628"/>
    <w:rsid w:val="004966C1"/>
    <w:rsid w:val="00496847"/>
    <w:rsid w:val="00496AC8"/>
    <w:rsid w:val="00496BCE"/>
    <w:rsid w:val="00496D25"/>
    <w:rsid w:val="00497043"/>
    <w:rsid w:val="00497088"/>
    <w:rsid w:val="004970D0"/>
    <w:rsid w:val="00497207"/>
    <w:rsid w:val="00497225"/>
    <w:rsid w:val="0049734C"/>
    <w:rsid w:val="00497482"/>
    <w:rsid w:val="00497494"/>
    <w:rsid w:val="00497538"/>
    <w:rsid w:val="004975EE"/>
    <w:rsid w:val="0049767B"/>
    <w:rsid w:val="00497720"/>
    <w:rsid w:val="004977FA"/>
    <w:rsid w:val="00497851"/>
    <w:rsid w:val="00497853"/>
    <w:rsid w:val="0049787B"/>
    <w:rsid w:val="0049788A"/>
    <w:rsid w:val="00497954"/>
    <w:rsid w:val="004979D6"/>
    <w:rsid w:val="004979F7"/>
    <w:rsid w:val="00497A22"/>
    <w:rsid w:val="00497E48"/>
    <w:rsid w:val="00497E93"/>
    <w:rsid w:val="004A0083"/>
    <w:rsid w:val="004A0276"/>
    <w:rsid w:val="004A0285"/>
    <w:rsid w:val="004A0401"/>
    <w:rsid w:val="004A08E8"/>
    <w:rsid w:val="004A0B02"/>
    <w:rsid w:val="004A0BF6"/>
    <w:rsid w:val="004A0C51"/>
    <w:rsid w:val="004A0CC6"/>
    <w:rsid w:val="004A0F14"/>
    <w:rsid w:val="004A10F2"/>
    <w:rsid w:val="004A116E"/>
    <w:rsid w:val="004A11A2"/>
    <w:rsid w:val="004A11B1"/>
    <w:rsid w:val="004A123B"/>
    <w:rsid w:val="004A1479"/>
    <w:rsid w:val="004A1B9C"/>
    <w:rsid w:val="004A1C32"/>
    <w:rsid w:val="004A1D01"/>
    <w:rsid w:val="004A1E43"/>
    <w:rsid w:val="004A1E9B"/>
    <w:rsid w:val="004A2144"/>
    <w:rsid w:val="004A22DB"/>
    <w:rsid w:val="004A231D"/>
    <w:rsid w:val="004A23F6"/>
    <w:rsid w:val="004A276F"/>
    <w:rsid w:val="004A29A9"/>
    <w:rsid w:val="004A29F8"/>
    <w:rsid w:val="004A2A52"/>
    <w:rsid w:val="004A2B37"/>
    <w:rsid w:val="004A2CD4"/>
    <w:rsid w:val="004A2D09"/>
    <w:rsid w:val="004A2D20"/>
    <w:rsid w:val="004A2DA5"/>
    <w:rsid w:val="004A2DFC"/>
    <w:rsid w:val="004A2E51"/>
    <w:rsid w:val="004A312D"/>
    <w:rsid w:val="004A3142"/>
    <w:rsid w:val="004A31F0"/>
    <w:rsid w:val="004A32A3"/>
    <w:rsid w:val="004A33A6"/>
    <w:rsid w:val="004A3416"/>
    <w:rsid w:val="004A34BD"/>
    <w:rsid w:val="004A3538"/>
    <w:rsid w:val="004A3C96"/>
    <w:rsid w:val="004A3DCA"/>
    <w:rsid w:val="004A3DFC"/>
    <w:rsid w:val="004A3E04"/>
    <w:rsid w:val="004A3F18"/>
    <w:rsid w:val="004A3F2A"/>
    <w:rsid w:val="004A4174"/>
    <w:rsid w:val="004A4262"/>
    <w:rsid w:val="004A4612"/>
    <w:rsid w:val="004A47CB"/>
    <w:rsid w:val="004A49B0"/>
    <w:rsid w:val="004A4C6F"/>
    <w:rsid w:val="004A4E5A"/>
    <w:rsid w:val="004A4EB9"/>
    <w:rsid w:val="004A4ECE"/>
    <w:rsid w:val="004A4FB4"/>
    <w:rsid w:val="004A5049"/>
    <w:rsid w:val="004A51C8"/>
    <w:rsid w:val="004A526E"/>
    <w:rsid w:val="004A5270"/>
    <w:rsid w:val="004A52AA"/>
    <w:rsid w:val="004A54E7"/>
    <w:rsid w:val="004A5511"/>
    <w:rsid w:val="004A5809"/>
    <w:rsid w:val="004A58EA"/>
    <w:rsid w:val="004A5A1F"/>
    <w:rsid w:val="004A5A43"/>
    <w:rsid w:val="004A5AE0"/>
    <w:rsid w:val="004A5DC1"/>
    <w:rsid w:val="004A5E32"/>
    <w:rsid w:val="004A5F25"/>
    <w:rsid w:val="004A60E5"/>
    <w:rsid w:val="004A619E"/>
    <w:rsid w:val="004A61B4"/>
    <w:rsid w:val="004A61BD"/>
    <w:rsid w:val="004A62DB"/>
    <w:rsid w:val="004A636B"/>
    <w:rsid w:val="004A645B"/>
    <w:rsid w:val="004A64F7"/>
    <w:rsid w:val="004A680C"/>
    <w:rsid w:val="004A68D5"/>
    <w:rsid w:val="004A692E"/>
    <w:rsid w:val="004A6AD2"/>
    <w:rsid w:val="004A6C45"/>
    <w:rsid w:val="004A6F79"/>
    <w:rsid w:val="004A7018"/>
    <w:rsid w:val="004A74B8"/>
    <w:rsid w:val="004A758B"/>
    <w:rsid w:val="004A783D"/>
    <w:rsid w:val="004A7906"/>
    <w:rsid w:val="004A79A2"/>
    <w:rsid w:val="004A7C20"/>
    <w:rsid w:val="004A7D26"/>
    <w:rsid w:val="004A7F67"/>
    <w:rsid w:val="004A7FAF"/>
    <w:rsid w:val="004B00E6"/>
    <w:rsid w:val="004B02D5"/>
    <w:rsid w:val="004B03BB"/>
    <w:rsid w:val="004B0452"/>
    <w:rsid w:val="004B052E"/>
    <w:rsid w:val="004B05B9"/>
    <w:rsid w:val="004B06BE"/>
    <w:rsid w:val="004B06E1"/>
    <w:rsid w:val="004B0770"/>
    <w:rsid w:val="004B0902"/>
    <w:rsid w:val="004B097B"/>
    <w:rsid w:val="004B0A31"/>
    <w:rsid w:val="004B0A5D"/>
    <w:rsid w:val="004B0BFF"/>
    <w:rsid w:val="004B0C77"/>
    <w:rsid w:val="004B0C91"/>
    <w:rsid w:val="004B0D62"/>
    <w:rsid w:val="004B0D8F"/>
    <w:rsid w:val="004B0DC6"/>
    <w:rsid w:val="004B0E94"/>
    <w:rsid w:val="004B0EB6"/>
    <w:rsid w:val="004B0F69"/>
    <w:rsid w:val="004B10BE"/>
    <w:rsid w:val="004B10E7"/>
    <w:rsid w:val="004B118C"/>
    <w:rsid w:val="004B122C"/>
    <w:rsid w:val="004B12A2"/>
    <w:rsid w:val="004B15CE"/>
    <w:rsid w:val="004B19CF"/>
    <w:rsid w:val="004B1AA4"/>
    <w:rsid w:val="004B1B5C"/>
    <w:rsid w:val="004B1E8F"/>
    <w:rsid w:val="004B1EF2"/>
    <w:rsid w:val="004B2126"/>
    <w:rsid w:val="004B213E"/>
    <w:rsid w:val="004B2285"/>
    <w:rsid w:val="004B2441"/>
    <w:rsid w:val="004B24A7"/>
    <w:rsid w:val="004B24BB"/>
    <w:rsid w:val="004B253A"/>
    <w:rsid w:val="004B2602"/>
    <w:rsid w:val="004B27E3"/>
    <w:rsid w:val="004B294D"/>
    <w:rsid w:val="004B2A02"/>
    <w:rsid w:val="004B2A80"/>
    <w:rsid w:val="004B2AB1"/>
    <w:rsid w:val="004B2C63"/>
    <w:rsid w:val="004B2CDC"/>
    <w:rsid w:val="004B313E"/>
    <w:rsid w:val="004B319B"/>
    <w:rsid w:val="004B3260"/>
    <w:rsid w:val="004B335A"/>
    <w:rsid w:val="004B3390"/>
    <w:rsid w:val="004B33BA"/>
    <w:rsid w:val="004B3489"/>
    <w:rsid w:val="004B34D2"/>
    <w:rsid w:val="004B355E"/>
    <w:rsid w:val="004B38EE"/>
    <w:rsid w:val="004B3AA3"/>
    <w:rsid w:val="004B3AD5"/>
    <w:rsid w:val="004B3B1A"/>
    <w:rsid w:val="004B3BB2"/>
    <w:rsid w:val="004B3DD2"/>
    <w:rsid w:val="004B3EEC"/>
    <w:rsid w:val="004B3F6F"/>
    <w:rsid w:val="004B42C8"/>
    <w:rsid w:val="004B438E"/>
    <w:rsid w:val="004B438F"/>
    <w:rsid w:val="004B44BD"/>
    <w:rsid w:val="004B4704"/>
    <w:rsid w:val="004B488D"/>
    <w:rsid w:val="004B4A1A"/>
    <w:rsid w:val="004B4A6E"/>
    <w:rsid w:val="004B4C57"/>
    <w:rsid w:val="004B4C78"/>
    <w:rsid w:val="004B4CDF"/>
    <w:rsid w:val="004B4D69"/>
    <w:rsid w:val="004B4E81"/>
    <w:rsid w:val="004B4E89"/>
    <w:rsid w:val="004B4ECB"/>
    <w:rsid w:val="004B4F41"/>
    <w:rsid w:val="004B4FFA"/>
    <w:rsid w:val="004B502B"/>
    <w:rsid w:val="004B50A3"/>
    <w:rsid w:val="004B5544"/>
    <w:rsid w:val="004B5558"/>
    <w:rsid w:val="004B569C"/>
    <w:rsid w:val="004B56D5"/>
    <w:rsid w:val="004B57CE"/>
    <w:rsid w:val="004B5889"/>
    <w:rsid w:val="004B5891"/>
    <w:rsid w:val="004B5A9E"/>
    <w:rsid w:val="004B5B71"/>
    <w:rsid w:val="004B5C02"/>
    <w:rsid w:val="004B5C10"/>
    <w:rsid w:val="004B5F7F"/>
    <w:rsid w:val="004B64C6"/>
    <w:rsid w:val="004B652C"/>
    <w:rsid w:val="004B6540"/>
    <w:rsid w:val="004B6862"/>
    <w:rsid w:val="004B6A97"/>
    <w:rsid w:val="004B6B08"/>
    <w:rsid w:val="004B6BB5"/>
    <w:rsid w:val="004B6D01"/>
    <w:rsid w:val="004B6FDE"/>
    <w:rsid w:val="004B7051"/>
    <w:rsid w:val="004B70CF"/>
    <w:rsid w:val="004B724A"/>
    <w:rsid w:val="004B738C"/>
    <w:rsid w:val="004B7623"/>
    <w:rsid w:val="004B78D2"/>
    <w:rsid w:val="004B78F1"/>
    <w:rsid w:val="004B7919"/>
    <w:rsid w:val="004B7A13"/>
    <w:rsid w:val="004B7A78"/>
    <w:rsid w:val="004B7BD9"/>
    <w:rsid w:val="004B7C7F"/>
    <w:rsid w:val="004B7CAD"/>
    <w:rsid w:val="004B7DF7"/>
    <w:rsid w:val="004B7E3E"/>
    <w:rsid w:val="004B7F2E"/>
    <w:rsid w:val="004B7F82"/>
    <w:rsid w:val="004B7F92"/>
    <w:rsid w:val="004B7FE3"/>
    <w:rsid w:val="004C011D"/>
    <w:rsid w:val="004C0239"/>
    <w:rsid w:val="004C02E8"/>
    <w:rsid w:val="004C0329"/>
    <w:rsid w:val="004C041F"/>
    <w:rsid w:val="004C04A8"/>
    <w:rsid w:val="004C04DD"/>
    <w:rsid w:val="004C0714"/>
    <w:rsid w:val="004C07A3"/>
    <w:rsid w:val="004C083F"/>
    <w:rsid w:val="004C0850"/>
    <w:rsid w:val="004C09A7"/>
    <w:rsid w:val="004C0E44"/>
    <w:rsid w:val="004C15BB"/>
    <w:rsid w:val="004C167F"/>
    <w:rsid w:val="004C1762"/>
    <w:rsid w:val="004C1831"/>
    <w:rsid w:val="004C18B0"/>
    <w:rsid w:val="004C1916"/>
    <w:rsid w:val="004C1985"/>
    <w:rsid w:val="004C1A7F"/>
    <w:rsid w:val="004C1BDE"/>
    <w:rsid w:val="004C207E"/>
    <w:rsid w:val="004C21BB"/>
    <w:rsid w:val="004C21F4"/>
    <w:rsid w:val="004C23B6"/>
    <w:rsid w:val="004C23EC"/>
    <w:rsid w:val="004C24C1"/>
    <w:rsid w:val="004C253D"/>
    <w:rsid w:val="004C2704"/>
    <w:rsid w:val="004C27C7"/>
    <w:rsid w:val="004C282E"/>
    <w:rsid w:val="004C2A8B"/>
    <w:rsid w:val="004C2C2E"/>
    <w:rsid w:val="004C2C40"/>
    <w:rsid w:val="004C2D81"/>
    <w:rsid w:val="004C2DC7"/>
    <w:rsid w:val="004C2EB3"/>
    <w:rsid w:val="004C3071"/>
    <w:rsid w:val="004C30D0"/>
    <w:rsid w:val="004C30F4"/>
    <w:rsid w:val="004C312B"/>
    <w:rsid w:val="004C3400"/>
    <w:rsid w:val="004C363A"/>
    <w:rsid w:val="004C364A"/>
    <w:rsid w:val="004C3684"/>
    <w:rsid w:val="004C3815"/>
    <w:rsid w:val="004C383D"/>
    <w:rsid w:val="004C3885"/>
    <w:rsid w:val="004C38D2"/>
    <w:rsid w:val="004C396E"/>
    <w:rsid w:val="004C3B46"/>
    <w:rsid w:val="004C3C38"/>
    <w:rsid w:val="004C4085"/>
    <w:rsid w:val="004C4086"/>
    <w:rsid w:val="004C4120"/>
    <w:rsid w:val="004C418D"/>
    <w:rsid w:val="004C4336"/>
    <w:rsid w:val="004C4507"/>
    <w:rsid w:val="004C4AA0"/>
    <w:rsid w:val="004C4B1B"/>
    <w:rsid w:val="004C4F43"/>
    <w:rsid w:val="004C4F82"/>
    <w:rsid w:val="004C5119"/>
    <w:rsid w:val="004C51EF"/>
    <w:rsid w:val="004C533D"/>
    <w:rsid w:val="004C5432"/>
    <w:rsid w:val="004C56B6"/>
    <w:rsid w:val="004C572C"/>
    <w:rsid w:val="004C5764"/>
    <w:rsid w:val="004C5C2D"/>
    <w:rsid w:val="004C5C51"/>
    <w:rsid w:val="004C5C64"/>
    <w:rsid w:val="004C5FCD"/>
    <w:rsid w:val="004C621C"/>
    <w:rsid w:val="004C622F"/>
    <w:rsid w:val="004C627F"/>
    <w:rsid w:val="004C6296"/>
    <w:rsid w:val="004C6316"/>
    <w:rsid w:val="004C6487"/>
    <w:rsid w:val="004C657D"/>
    <w:rsid w:val="004C68C4"/>
    <w:rsid w:val="004C697D"/>
    <w:rsid w:val="004C6A39"/>
    <w:rsid w:val="004C6ADF"/>
    <w:rsid w:val="004C6D0D"/>
    <w:rsid w:val="004C6D11"/>
    <w:rsid w:val="004C6E36"/>
    <w:rsid w:val="004C72F3"/>
    <w:rsid w:val="004C73F1"/>
    <w:rsid w:val="004C74B9"/>
    <w:rsid w:val="004C74EC"/>
    <w:rsid w:val="004C7577"/>
    <w:rsid w:val="004C757B"/>
    <w:rsid w:val="004C75A1"/>
    <w:rsid w:val="004C772D"/>
    <w:rsid w:val="004C77AF"/>
    <w:rsid w:val="004C782B"/>
    <w:rsid w:val="004C7969"/>
    <w:rsid w:val="004C7B9C"/>
    <w:rsid w:val="004C7C32"/>
    <w:rsid w:val="004C7CB1"/>
    <w:rsid w:val="004C7CE6"/>
    <w:rsid w:val="004C7EAD"/>
    <w:rsid w:val="004C7FAA"/>
    <w:rsid w:val="004C7FC7"/>
    <w:rsid w:val="004D0140"/>
    <w:rsid w:val="004D01BD"/>
    <w:rsid w:val="004D0225"/>
    <w:rsid w:val="004D0299"/>
    <w:rsid w:val="004D02C0"/>
    <w:rsid w:val="004D035B"/>
    <w:rsid w:val="004D053F"/>
    <w:rsid w:val="004D0609"/>
    <w:rsid w:val="004D0621"/>
    <w:rsid w:val="004D0771"/>
    <w:rsid w:val="004D07D2"/>
    <w:rsid w:val="004D07EB"/>
    <w:rsid w:val="004D0928"/>
    <w:rsid w:val="004D0A41"/>
    <w:rsid w:val="004D0A57"/>
    <w:rsid w:val="004D0A87"/>
    <w:rsid w:val="004D0B9E"/>
    <w:rsid w:val="004D0C7A"/>
    <w:rsid w:val="004D0CAC"/>
    <w:rsid w:val="004D0F07"/>
    <w:rsid w:val="004D0FDB"/>
    <w:rsid w:val="004D10D8"/>
    <w:rsid w:val="004D119D"/>
    <w:rsid w:val="004D1280"/>
    <w:rsid w:val="004D1453"/>
    <w:rsid w:val="004D150A"/>
    <w:rsid w:val="004D16E8"/>
    <w:rsid w:val="004D1721"/>
    <w:rsid w:val="004D1753"/>
    <w:rsid w:val="004D182B"/>
    <w:rsid w:val="004D1B5F"/>
    <w:rsid w:val="004D1D96"/>
    <w:rsid w:val="004D1DB0"/>
    <w:rsid w:val="004D1DDB"/>
    <w:rsid w:val="004D1E06"/>
    <w:rsid w:val="004D1EEC"/>
    <w:rsid w:val="004D1F1E"/>
    <w:rsid w:val="004D210E"/>
    <w:rsid w:val="004D2164"/>
    <w:rsid w:val="004D21C4"/>
    <w:rsid w:val="004D26D7"/>
    <w:rsid w:val="004D27D1"/>
    <w:rsid w:val="004D2808"/>
    <w:rsid w:val="004D2916"/>
    <w:rsid w:val="004D298D"/>
    <w:rsid w:val="004D2A29"/>
    <w:rsid w:val="004D2DC4"/>
    <w:rsid w:val="004D2FF9"/>
    <w:rsid w:val="004D30F2"/>
    <w:rsid w:val="004D321B"/>
    <w:rsid w:val="004D33CF"/>
    <w:rsid w:val="004D342C"/>
    <w:rsid w:val="004D3598"/>
    <w:rsid w:val="004D35F4"/>
    <w:rsid w:val="004D3605"/>
    <w:rsid w:val="004D3A73"/>
    <w:rsid w:val="004D3D99"/>
    <w:rsid w:val="004D3DB4"/>
    <w:rsid w:val="004D3DBF"/>
    <w:rsid w:val="004D3EEA"/>
    <w:rsid w:val="004D4151"/>
    <w:rsid w:val="004D41AF"/>
    <w:rsid w:val="004D41C3"/>
    <w:rsid w:val="004D41FF"/>
    <w:rsid w:val="004D43DB"/>
    <w:rsid w:val="004D4630"/>
    <w:rsid w:val="004D4750"/>
    <w:rsid w:val="004D4997"/>
    <w:rsid w:val="004D49C6"/>
    <w:rsid w:val="004D4B6A"/>
    <w:rsid w:val="004D4C13"/>
    <w:rsid w:val="004D50B9"/>
    <w:rsid w:val="004D5430"/>
    <w:rsid w:val="004D548F"/>
    <w:rsid w:val="004D55E4"/>
    <w:rsid w:val="004D586E"/>
    <w:rsid w:val="004D58E1"/>
    <w:rsid w:val="004D5A06"/>
    <w:rsid w:val="004D5E5C"/>
    <w:rsid w:val="004D5E65"/>
    <w:rsid w:val="004D6204"/>
    <w:rsid w:val="004D64D4"/>
    <w:rsid w:val="004D6513"/>
    <w:rsid w:val="004D6564"/>
    <w:rsid w:val="004D65C3"/>
    <w:rsid w:val="004D66FE"/>
    <w:rsid w:val="004D673D"/>
    <w:rsid w:val="004D6782"/>
    <w:rsid w:val="004D6793"/>
    <w:rsid w:val="004D679F"/>
    <w:rsid w:val="004D6963"/>
    <w:rsid w:val="004D6A5D"/>
    <w:rsid w:val="004D6C23"/>
    <w:rsid w:val="004D6C67"/>
    <w:rsid w:val="004D6CF7"/>
    <w:rsid w:val="004D6D38"/>
    <w:rsid w:val="004D6E91"/>
    <w:rsid w:val="004D6EBE"/>
    <w:rsid w:val="004D6ED3"/>
    <w:rsid w:val="004D720D"/>
    <w:rsid w:val="004D7316"/>
    <w:rsid w:val="004D7394"/>
    <w:rsid w:val="004D7450"/>
    <w:rsid w:val="004D7494"/>
    <w:rsid w:val="004D74F0"/>
    <w:rsid w:val="004D76D6"/>
    <w:rsid w:val="004D77F6"/>
    <w:rsid w:val="004D78CF"/>
    <w:rsid w:val="004D7920"/>
    <w:rsid w:val="004D7B0E"/>
    <w:rsid w:val="004D7C34"/>
    <w:rsid w:val="004D7D29"/>
    <w:rsid w:val="004D7E66"/>
    <w:rsid w:val="004D7FE5"/>
    <w:rsid w:val="004E00D1"/>
    <w:rsid w:val="004E0105"/>
    <w:rsid w:val="004E030F"/>
    <w:rsid w:val="004E0374"/>
    <w:rsid w:val="004E0455"/>
    <w:rsid w:val="004E059F"/>
    <w:rsid w:val="004E078D"/>
    <w:rsid w:val="004E0799"/>
    <w:rsid w:val="004E07B3"/>
    <w:rsid w:val="004E0905"/>
    <w:rsid w:val="004E0A00"/>
    <w:rsid w:val="004E0A93"/>
    <w:rsid w:val="004E0AB6"/>
    <w:rsid w:val="004E0B6F"/>
    <w:rsid w:val="004E0C41"/>
    <w:rsid w:val="004E0DDF"/>
    <w:rsid w:val="004E11FD"/>
    <w:rsid w:val="004E1501"/>
    <w:rsid w:val="004E1516"/>
    <w:rsid w:val="004E16D1"/>
    <w:rsid w:val="004E1728"/>
    <w:rsid w:val="004E177C"/>
    <w:rsid w:val="004E19CB"/>
    <w:rsid w:val="004E1B4B"/>
    <w:rsid w:val="004E1CE0"/>
    <w:rsid w:val="004E1D3B"/>
    <w:rsid w:val="004E2051"/>
    <w:rsid w:val="004E20C7"/>
    <w:rsid w:val="004E213F"/>
    <w:rsid w:val="004E21EE"/>
    <w:rsid w:val="004E21F4"/>
    <w:rsid w:val="004E25DD"/>
    <w:rsid w:val="004E28E5"/>
    <w:rsid w:val="004E2992"/>
    <w:rsid w:val="004E2A5E"/>
    <w:rsid w:val="004E2BE7"/>
    <w:rsid w:val="004E2DB5"/>
    <w:rsid w:val="004E2DDD"/>
    <w:rsid w:val="004E2E1F"/>
    <w:rsid w:val="004E2EE9"/>
    <w:rsid w:val="004E2F91"/>
    <w:rsid w:val="004E2FF7"/>
    <w:rsid w:val="004E3053"/>
    <w:rsid w:val="004E3077"/>
    <w:rsid w:val="004E348C"/>
    <w:rsid w:val="004E38AF"/>
    <w:rsid w:val="004E3A24"/>
    <w:rsid w:val="004E3A4E"/>
    <w:rsid w:val="004E3A4F"/>
    <w:rsid w:val="004E3BE3"/>
    <w:rsid w:val="004E3C3F"/>
    <w:rsid w:val="004E3D8C"/>
    <w:rsid w:val="004E3DDF"/>
    <w:rsid w:val="004E3DF4"/>
    <w:rsid w:val="004E3FDE"/>
    <w:rsid w:val="004E4079"/>
    <w:rsid w:val="004E4230"/>
    <w:rsid w:val="004E4366"/>
    <w:rsid w:val="004E43DE"/>
    <w:rsid w:val="004E46EC"/>
    <w:rsid w:val="004E4708"/>
    <w:rsid w:val="004E47ED"/>
    <w:rsid w:val="004E4973"/>
    <w:rsid w:val="004E4AEC"/>
    <w:rsid w:val="004E4BE8"/>
    <w:rsid w:val="004E4CDD"/>
    <w:rsid w:val="004E4ECE"/>
    <w:rsid w:val="004E5370"/>
    <w:rsid w:val="004E54C5"/>
    <w:rsid w:val="004E563B"/>
    <w:rsid w:val="004E56A5"/>
    <w:rsid w:val="004E56C4"/>
    <w:rsid w:val="004E56CF"/>
    <w:rsid w:val="004E5786"/>
    <w:rsid w:val="004E59E1"/>
    <w:rsid w:val="004E5E19"/>
    <w:rsid w:val="004E5F2F"/>
    <w:rsid w:val="004E64B0"/>
    <w:rsid w:val="004E6522"/>
    <w:rsid w:val="004E6AC4"/>
    <w:rsid w:val="004E6C11"/>
    <w:rsid w:val="004E6CB3"/>
    <w:rsid w:val="004E6CE1"/>
    <w:rsid w:val="004E6D48"/>
    <w:rsid w:val="004E6D5F"/>
    <w:rsid w:val="004E6F14"/>
    <w:rsid w:val="004E6FC1"/>
    <w:rsid w:val="004E7393"/>
    <w:rsid w:val="004E7734"/>
    <w:rsid w:val="004E7949"/>
    <w:rsid w:val="004E7A17"/>
    <w:rsid w:val="004E7AC5"/>
    <w:rsid w:val="004E7C67"/>
    <w:rsid w:val="004E7D8A"/>
    <w:rsid w:val="004E7F17"/>
    <w:rsid w:val="004E7F8A"/>
    <w:rsid w:val="004F00B7"/>
    <w:rsid w:val="004F023B"/>
    <w:rsid w:val="004F041C"/>
    <w:rsid w:val="004F05CD"/>
    <w:rsid w:val="004F06DE"/>
    <w:rsid w:val="004F07D6"/>
    <w:rsid w:val="004F07F9"/>
    <w:rsid w:val="004F08DD"/>
    <w:rsid w:val="004F09A1"/>
    <w:rsid w:val="004F09D0"/>
    <w:rsid w:val="004F0CA1"/>
    <w:rsid w:val="004F0CFB"/>
    <w:rsid w:val="004F0EAC"/>
    <w:rsid w:val="004F13CA"/>
    <w:rsid w:val="004F13CD"/>
    <w:rsid w:val="004F1461"/>
    <w:rsid w:val="004F14E0"/>
    <w:rsid w:val="004F168E"/>
    <w:rsid w:val="004F16F4"/>
    <w:rsid w:val="004F191A"/>
    <w:rsid w:val="004F198D"/>
    <w:rsid w:val="004F1AB8"/>
    <w:rsid w:val="004F1AC2"/>
    <w:rsid w:val="004F1DEB"/>
    <w:rsid w:val="004F1DED"/>
    <w:rsid w:val="004F1F28"/>
    <w:rsid w:val="004F204B"/>
    <w:rsid w:val="004F20D9"/>
    <w:rsid w:val="004F23EE"/>
    <w:rsid w:val="004F2466"/>
    <w:rsid w:val="004F24E1"/>
    <w:rsid w:val="004F265D"/>
    <w:rsid w:val="004F2831"/>
    <w:rsid w:val="004F2859"/>
    <w:rsid w:val="004F28EB"/>
    <w:rsid w:val="004F2913"/>
    <w:rsid w:val="004F2B5C"/>
    <w:rsid w:val="004F2D1D"/>
    <w:rsid w:val="004F2F01"/>
    <w:rsid w:val="004F2F71"/>
    <w:rsid w:val="004F3111"/>
    <w:rsid w:val="004F3245"/>
    <w:rsid w:val="004F339A"/>
    <w:rsid w:val="004F3451"/>
    <w:rsid w:val="004F34E0"/>
    <w:rsid w:val="004F3598"/>
    <w:rsid w:val="004F3830"/>
    <w:rsid w:val="004F3922"/>
    <w:rsid w:val="004F3B74"/>
    <w:rsid w:val="004F3E35"/>
    <w:rsid w:val="004F3FB0"/>
    <w:rsid w:val="004F4022"/>
    <w:rsid w:val="004F4048"/>
    <w:rsid w:val="004F404E"/>
    <w:rsid w:val="004F43A1"/>
    <w:rsid w:val="004F446F"/>
    <w:rsid w:val="004F44AE"/>
    <w:rsid w:val="004F44B8"/>
    <w:rsid w:val="004F455F"/>
    <w:rsid w:val="004F45C1"/>
    <w:rsid w:val="004F462B"/>
    <w:rsid w:val="004F46AC"/>
    <w:rsid w:val="004F48E5"/>
    <w:rsid w:val="004F4A0F"/>
    <w:rsid w:val="004F4B00"/>
    <w:rsid w:val="004F4C22"/>
    <w:rsid w:val="004F4C37"/>
    <w:rsid w:val="004F4C5B"/>
    <w:rsid w:val="004F4E03"/>
    <w:rsid w:val="004F4E37"/>
    <w:rsid w:val="004F4F04"/>
    <w:rsid w:val="004F5018"/>
    <w:rsid w:val="004F5079"/>
    <w:rsid w:val="004F5083"/>
    <w:rsid w:val="004F5098"/>
    <w:rsid w:val="004F518F"/>
    <w:rsid w:val="004F5265"/>
    <w:rsid w:val="004F52B2"/>
    <w:rsid w:val="004F5847"/>
    <w:rsid w:val="004F5910"/>
    <w:rsid w:val="004F593B"/>
    <w:rsid w:val="004F5A05"/>
    <w:rsid w:val="004F5A17"/>
    <w:rsid w:val="004F5A56"/>
    <w:rsid w:val="004F5BDE"/>
    <w:rsid w:val="004F5DF4"/>
    <w:rsid w:val="004F5F2A"/>
    <w:rsid w:val="004F5FAA"/>
    <w:rsid w:val="004F6206"/>
    <w:rsid w:val="004F634F"/>
    <w:rsid w:val="004F63A6"/>
    <w:rsid w:val="004F6506"/>
    <w:rsid w:val="004F6665"/>
    <w:rsid w:val="004F6873"/>
    <w:rsid w:val="004F6910"/>
    <w:rsid w:val="004F6DA9"/>
    <w:rsid w:val="004F6E21"/>
    <w:rsid w:val="004F6F46"/>
    <w:rsid w:val="004F6F86"/>
    <w:rsid w:val="004F6F8C"/>
    <w:rsid w:val="004F7125"/>
    <w:rsid w:val="004F712E"/>
    <w:rsid w:val="004F718E"/>
    <w:rsid w:val="004F73F8"/>
    <w:rsid w:val="004F740B"/>
    <w:rsid w:val="004F7435"/>
    <w:rsid w:val="004F7444"/>
    <w:rsid w:val="004F744B"/>
    <w:rsid w:val="004F7473"/>
    <w:rsid w:val="004F764F"/>
    <w:rsid w:val="004F7757"/>
    <w:rsid w:val="004F79A3"/>
    <w:rsid w:val="004F7A51"/>
    <w:rsid w:val="004F7BE0"/>
    <w:rsid w:val="004F7EFD"/>
    <w:rsid w:val="004F7F20"/>
    <w:rsid w:val="00500074"/>
    <w:rsid w:val="005002DD"/>
    <w:rsid w:val="005002FB"/>
    <w:rsid w:val="005004E3"/>
    <w:rsid w:val="005004EA"/>
    <w:rsid w:val="00500884"/>
    <w:rsid w:val="0050089A"/>
    <w:rsid w:val="005008CC"/>
    <w:rsid w:val="00500A80"/>
    <w:rsid w:val="00500AF9"/>
    <w:rsid w:val="00500BE5"/>
    <w:rsid w:val="00500C33"/>
    <w:rsid w:val="00500D4D"/>
    <w:rsid w:val="00500DBD"/>
    <w:rsid w:val="00500F94"/>
    <w:rsid w:val="0050124D"/>
    <w:rsid w:val="0050124F"/>
    <w:rsid w:val="00501260"/>
    <w:rsid w:val="00501474"/>
    <w:rsid w:val="00501580"/>
    <w:rsid w:val="00501679"/>
    <w:rsid w:val="00501708"/>
    <w:rsid w:val="0050185F"/>
    <w:rsid w:val="0050187A"/>
    <w:rsid w:val="00501896"/>
    <w:rsid w:val="0050199C"/>
    <w:rsid w:val="005019B9"/>
    <w:rsid w:val="00501B01"/>
    <w:rsid w:val="00501B2E"/>
    <w:rsid w:val="00501D2B"/>
    <w:rsid w:val="00501DA0"/>
    <w:rsid w:val="00501E70"/>
    <w:rsid w:val="00501F3A"/>
    <w:rsid w:val="00501FAE"/>
    <w:rsid w:val="0050235F"/>
    <w:rsid w:val="0050240C"/>
    <w:rsid w:val="0050256B"/>
    <w:rsid w:val="00502606"/>
    <w:rsid w:val="0050271B"/>
    <w:rsid w:val="005027E3"/>
    <w:rsid w:val="00502AF5"/>
    <w:rsid w:val="00502DFC"/>
    <w:rsid w:val="00503061"/>
    <w:rsid w:val="0050319C"/>
    <w:rsid w:val="00503445"/>
    <w:rsid w:val="00503582"/>
    <w:rsid w:val="00503679"/>
    <w:rsid w:val="005036C8"/>
    <w:rsid w:val="0050375F"/>
    <w:rsid w:val="0050379B"/>
    <w:rsid w:val="005037DB"/>
    <w:rsid w:val="00503815"/>
    <w:rsid w:val="00503840"/>
    <w:rsid w:val="00503A3B"/>
    <w:rsid w:val="00503AB1"/>
    <w:rsid w:val="00503DFC"/>
    <w:rsid w:val="00503E19"/>
    <w:rsid w:val="00503FAB"/>
    <w:rsid w:val="00504012"/>
    <w:rsid w:val="00504165"/>
    <w:rsid w:val="00504273"/>
    <w:rsid w:val="0050437F"/>
    <w:rsid w:val="00504473"/>
    <w:rsid w:val="005044BC"/>
    <w:rsid w:val="0050451D"/>
    <w:rsid w:val="005047B9"/>
    <w:rsid w:val="00504848"/>
    <w:rsid w:val="0050487E"/>
    <w:rsid w:val="005048B3"/>
    <w:rsid w:val="00504BB8"/>
    <w:rsid w:val="00504BEC"/>
    <w:rsid w:val="00504DB0"/>
    <w:rsid w:val="00504E4C"/>
    <w:rsid w:val="005051AE"/>
    <w:rsid w:val="0050536F"/>
    <w:rsid w:val="0050577F"/>
    <w:rsid w:val="005058AC"/>
    <w:rsid w:val="00505A78"/>
    <w:rsid w:val="00505AA8"/>
    <w:rsid w:val="00505C4A"/>
    <w:rsid w:val="00505C7E"/>
    <w:rsid w:val="00505CCE"/>
    <w:rsid w:val="00505D98"/>
    <w:rsid w:val="0050603B"/>
    <w:rsid w:val="005060A4"/>
    <w:rsid w:val="0050610A"/>
    <w:rsid w:val="0050614A"/>
    <w:rsid w:val="0050651D"/>
    <w:rsid w:val="0050658C"/>
    <w:rsid w:val="005066D9"/>
    <w:rsid w:val="00506712"/>
    <w:rsid w:val="00506828"/>
    <w:rsid w:val="00506BBA"/>
    <w:rsid w:val="00506BFB"/>
    <w:rsid w:val="00506C48"/>
    <w:rsid w:val="00506CDE"/>
    <w:rsid w:val="00506D6A"/>
    <w:rsid w:val="00506E5B"/>
    <w:rsid w:val="00507188"/>
    <w:rsid w:val="0050739A"/>
    <w:rsid w:val="0050745B"/>
    <w:rsid w:val="00507476"/>
    <w:rsid w:val="005075F1"/>
    <w:rsid w:val="00507728"/>
    <w:rsid w:val="00507B87"/>
    <w:rsid w:val="005100D9"/>
    <w:rsid w:val="005100E7"/>
    <w:rsid w:val="005101C0"/>
    <w:rsid w:val="00510286"/>
    <w:rsid w:val="005102C8"/>
    <w:rsid w:val="00510323"/>
    <w:rsid w:val="00510399"/>
    <w:rsid w:val="0051061D"/>
    <w:rsid w:val="0051098A"/>
    <w:rsid w:val="00510A70"/>
    <w:rsid w:val="00510AFC"/>
    <w:rsid w:val="00510B2A"/>
    <w:rsid w:val="00510E2C"/>
    <w:rsid w:val="00510F99"/>
    <w:rsid w:val="005111B8"/>
    <w:rsid w:val="00511286"/>
    <w:rsid w:val="005113EF"/>
    <w:rsid w:val="00511848"/>
    <w:rsid w:val="0051185E"/>
    <w:rsid w:val="005118BA"/>
    <w:rsid w:val="0051191C"/>
    <w:rsid w:val="0051196A"/>
    <w:rsid w:val="00511A0C"/>
    <w:rsid w:val="00511B08"/>
    <w:rsid w:val="00511CE8"/>
    <w:rsid w:val="00511D07"/>
    <w:rsid w:val="00511F34"/>
    <w:rsid w:val="00512160"/>
    <w:rsid w:val="005121F2"/>
    <w:rsid w:val="00512373"/>
    <w:rsid w:val="005123A4"/>
    <w:rsid w:val="005123CD"/>
    <w:rsid w:val="00512493"/>
    <w:rsid w:val="005127F7"/>
    <w:rsid w:val="00512830"/>
    <w:rsid w:val="00512858"/>
    <w:rsid w:val="00512A96"/>
    <w:rsid w:val="00512AC1"/>
    <w:rsid w:val="00512C45"/>
    <w:rsid w:val="00512C4B"/>
    <w:rsid w:val="00512D25"/>
    <w:rsid w:val="00512D4E"/>
    <w:rsid w:val="00512D84"/>
    <w:rsid w:val="00513152"/>
    <w:rsid w:val="005131D1"/>
    <w:rsid w:val="005132B2"/>
    <w:rsid w:val="00513339"/>
    <w:rsid w:val="00513377"/>
    <w:rsid w:val="005133BE"/>
    <w:rsid w:val="00513476"/>
    <w:rsid w:val="00513552"/>
    <w:rsid w:val="0051376A"/>
    <w:rsid w:val="005138C8"/>
    <w:rsid w:val="00513A59"/>
    <w:rsid w:val="00513AB2"/>
    <w:rsid w:val="00513AD8"/>
    <w:rsid w:val="00513BEB"/>
    <w:rsid w:val="00513CFB"/>
    <w:rsid w:val="00513D0B"/>
    <w:rsid w:val="00513D45"/>
    <w:rsid w:val="00513E66"/>
    <w:rsid w:val="00513F3F"/>
    <w:rsid w:val="00513F6B"/>
    <w:rsid w:val="00513F9B"/>
    <w:rsid w:val="00514029"/>
    <w:rsid w:val="00514225"/>
    <w:rsid w:val="00514490"/>
    <w:rsid w:val="005146FA"/>
    <w:rsid w:val="0051472B"/>
    <w:rsid w:val="005148A1"/>
    <w:rsid w:val="005148CA"/>
    <w:rsid w:val="0051499E"/>
    <w:rsid w:val="005149A3"/>
    <w:rsid w:val="00514ABA"/>
    <w:rsid w:val="00514C80"/>
    <w:rsid w:val="00514D3F"/>
    <w:rsid w:val="00514D8C"/>
    <w:rsid w:val="00514EAD"/>
    <w:rsid w:val="00514FB7"/>
    <w:rsid w:val="00515014"/>
    <w:rsid w:val="0051511D"/>
    <w:rsid w:val="005151CF"/>
    <w:rsid w:val="0051521B"/>
    <w:rsid w:val="00515310"/>
    <w:rsid w:val="0051546D"/>
    <w:rsid w:val="0051555E"/>
    <w:rsid w:val="005155D2"/>
    <w:rsid w:val="00515844"/>
    <w:rsid w:val="0051589C"/>
    <w:rsid w:val="00515902"/>
    <w:rsid w:val="00515AD3"/>
    <w:rsid w:val="00515C48"/>
    <w:rsid w:val="00515D09"/>
    <w:rsid w:val="00515DB0"/>
    <w:rsid w:val="00515E3C"/>
    <w:rsid w:val="005160CB"/>
    <w:rsid w:val="00516205"/>
    <w:rsid w:val="00516433"/>
    <w:rsid w:val="00516487"/>
    <w:rsid w:val="005167A9"/>
    <w:rsid w:val="005169F1"/>
    <w:rsid w:val="00516AB0"/>
    <w:rsid w:val="00516AB1"/>
    <w:rsid w:val="00516BC3"/>
    <w:rsid w:val="00516BE7"/>
    <w:rsid w:val="00516DAB"/>
    <w:rsid w:val="00516ECB"/>
    <w:rsid w:val="00516ED7"/>
    <w:rsid w:val="00516FF1"/>
    <w:rsid w:val="0051700F"/>
    <w:rsid w:val="0051717D"/>
    <w:rsid w:val="005171B2"/>
    <w:rsid w:val="005171F8"/>
    <w:rsid w:val="00517292"/>
    <w:rsid w:val="00517335"/>
    <w:rsid w:val="0051733B"/>
    <w:rsid w:val="005175B6"/>
    <w:rsid w:val="00517745"/>
    <w:rsid w:val="0051783C"/>
    <w:rsid w:val="00517CE5"/>
    <w:rsid w:val="00517D47"/>
    <w:rsid w:val="00517D8B"/>
    <w:rsid w:val="00520160"/>
    <w:rsid w:val="00520287"/>
    <w:rsid w:val="00520365"/>
    <w:rsid w:val="005204D8"/>
    <w:rsid w:val="005204F5"/>
    <w:rsid w:val="00520770"/>
    <w:rsid w:val="005207F8"/>
    <w:rsid w:val="005208C4"/>
    <w:rsid w:val="00520A44"/>
    <w:rsid w:val="00520A4D"/>
    <w:rsid w:val="00520AC5"/>
    <w:rsid w:val="00520E65"/>
    <w:rsid w:val="00520F0E"/>
    <w:rsid w:val="00520F9E"/>
    <w:rsid w:val="0052101E"/>
    <w:rsid w:val="00521249"/>
    <w:rsid w:val="00521318"/>
    <w:rsid w:val="00521328"/>
    <w:rsid w:val="0052136C"/>
    <w:rsid w:val="0052137E"/>
    <w:rsid w:val="005214FA"/>
    <w:rsid w:val="00521598"/>
    <w:rsid w:val="005215A8"/>
    <w:rsid w:val="0052175C"/>
    <w:rsid w:val="00521837"/>
    <w:rsid w:val="0052195D"/>
    <w:rsid w:val="00521A91"/>
    <w:rsid w:val="00521BD9"/>
    <w:rsid w:val="00521D80"/>
    <w:rsid w:val="00521DAA"/>
    <w:rsid w:val="00521E12"/>
    <w:rsid w:val="00521F2D"/>
    <w:rsid w:val="00521F3C"/>
    <w:rsid w:val="00522200"/>
    <w:rsid w:val="00522250"/>
    <w:rsid w:val="005224AC"/>
    <w:rsid w:val="00522893"/>
    <w:rsid w:val="005229F8"/>
    <w:rsid w:val="00522AA4"/>
    <w:rsid w:val="00522B71"/>
    <w:rsid w:val="00522D61"/>
    <w:rsid w:val="00522D70"/>
    <w:rsid w:val="00522EBF"/>
    <w:rsid w:val="00522F56"/>
    <w:rsid w:val="005230ED"/>
    <w:rsid w:val="005231A0"/>
    <w:rsid w:val="0052352A"/>
    <w:rsid w:val="0052365D"/>
    <w:rsid w:val="005239F9"/>
    <w:rsid w:val="00523AC8"/>
    <w:rsid w:val="00523AFA"/>
    <w:rsid w:val="00523C01"/>
    <w:rsid w:val="00523D22"/>
    <w:rsid w:val="00523D5D"/>
    <w:rsid w:val="00523F45"/>
    <w:rsid w:val="00523F94"/>
    <w:rsid w:val="00524312"/>
    <w:rsid w:val="0052436D"/>
    <w:rsid w:val="0052464B"/>
    <w:rsid w:val="0052484F"/>
    <w:rsid w:val="00524AC0"/>
    <w:rsid w:val="00524BB5"/>
    <w:rsid w:val="00524C26"/>
    <w:rsid w:val="00524C70"/>
    <w:rsid w:val="00524D09"/>
    <w:rsid w:val="00524D8A"/>
    <w:rsid w:val="00524F76"/>
    <w:rsid w:val="00525345"/>
    <w:rsid w:val="005253FE"/>
    <w:rsid w:val="00525437"/>
    <w:rsid w:val="005258F6"/>
    <w:rsid w:val="005259C6"/>
    <w:rsid w:val="00525CA7"/>
    <w:rsid w:val="00525D00"/>
    <w:rsid w:val="00525D01"/>
    <w:rsid w:val="00525D66"/>
    <w:rsid w:val="00525E1F"/>
    <w:rsid w:val="00525E43"/>
    <w:rsid w:val="00525FD7"/>
    <w:rsid w:val="00525FFD"/>
    <w:rsid w:val="0052634E"/>
    <w:rsid w:val="00526391"/>
    <w:rsid w:val="00526418"/>
    <w:rsid w:val="00526430"/>
    <w:rsid w:val="0052643D"/>
    <w:rsid w:val="00526552"/>
    <w:rsid w:val="0052696F"/>
    <w:rsid w:val="00526B9A"/>
    <w:rsid w:val="00526C5D"/>
    <w:rsid w:val="00526CCC"/>
    <w:rsid w:val="00526E12"/>
    <w:rsid w:val="005270CC"/>
    <w:rsid w:val="005270D4"/>
    <w:rsid w:val="00527197"/>
    <w:rsid w:val="00527269"/>
    <w:rsid w:val="00527343"/>
    <w:rsid w:val="0052739D"/>
    <w:rsid w:val="00527432"/>
    <w:rsid w:val="00527640"/>
    <w:rsid w:val="005276DF"/>
    <w:rsid w:val="00527897"/>
    <w:rsid w:val="005279A2"/>
    <w:rsid w:val="00527A42"/>
    <w:rsid w:val="00527A68"/>
    <w:rsid w:val="00527B0F"/>
    <w:rsid w:val="00527B41"/>
    <w:rsid w:val="00527B42"/>
    <w:rsid w:val="00527C66"/>
    <w:rsid w:val="00527CE2"/>
    <w:rsid w:val="00527DE5"/>
    <w:rsid w:val="005300AB"/>
    <w:rsid w:val="0053012B"/>
    <w:rsid w:val="00530198"/>
    <w:rsid w:val="0053034F"/>
    <w:rsid w:val="0053047F"/>
    <w:rsid w:val="0053053D"/>
    <w:rsid w:val="0053067F"/>
    <w:rsid w:val="005307E7"/>
    <w:rsid w:val="005308A6"/>
    <w:rsid w:val="0053095D"/>
    <w:rsid w:val="005309E5"/>
    <w:rsid w:val="005309F7"/>
    <w:rsid w:val="00530ADF"/>
    <w:rsid w:val="00530B6E"/>
    <w:rsid w:val="00530C63"/>
    <w:rsid w:val="00530D6B"/>
    <w:rsid w:val="00530DE0"/>
    <w:rsid w:val="00531080"/>
    <w:rsid w:val="00531224"/>
    <w:rsid w:val="00531228"/>
    <w:rsid w:val="005312CB"/>
    <w:rsid w:val="00531317"/>
    <w:rsid w:val="0053185F"/>
    <w:rsid w:val="005318CC"/>
    <w:rsid w:val="005319E7"/>
    <w:rsid w:val="00531A19"/>
    <w:rsid w:val="00531BFA"/>
    <w:rsid w:val="00531D1A"/>
    <w:rsid w:val="00531D3D"/>
    <w:rsid w:val="00531DBC"/>
    <w:rsid w:val="00531DCF"/>
    <w:rsid w:val="00531E5D"/>
    <w:rsid w:val="005320B8"/>
    <w:rsid w:val="00532165"/>
    <w:rsid w:val="0053226B"/>
    <w:rsid w:val="0053227E"/>
    <w:rsid w:val="0053231A"/>
    <w:rsid w:val="0053269A"/>
    <w:rsid w:val="00532875"/>
    <w:rsid w:val="0053289B"/>
    <w:rsid w:val="00532926"/>
    <w:rsid w:val="0053295B"/>
    <w:rsid w:val="00532984"/>
    <w:rsid w:val="00532F76"/>
    <w:rsid w:val="005331EE"/>
    <w:rsid w:val="00533218"/>
    <w:rsid w:val="0053327A"/>
    <w:rsid w:val="005332B8"/>
    <w:rsid w:val="00533379"/>
    <w:rsid w:val="0053343E"/>
    <w:rsid w:val="00533725"/>
    <w:rsid w:val="00533734"/>
    <w:rsid w:val="0053376E"/>
    <w:rsid w:val="005338BD"/>
    <w:rsid w:val="00533A31"/>
    <w:rsid w:val="00533AA4"/>
    <w:rsid w:val="00533B15"/>
    <w:rsid w:val="00533B31"/>
    <w:rsid w:val="00533CF8"/>
    <w:rsid w:val="00533E8E"/>
    <w:rsid w:val="00533F2F"/>
    <w:rsid w:val="00534426"/>
    <w:rsid w:val="005346C6"/>
    <w:rsid w:val="00534939"/>
    <w:rsid w:val="00534AB7"/>
    <w:rsid w:val="00534ACD"/>
    <w:rsid w:val="005350BB"/>
    <w:rsid w:val="0053513C"/>
    <w:rsid w:val="00535262"/>
    <w:rsid w:val="00535488"/>
    <w:rsid w:val="005354C9"/>
    <w:rsid w:val="005354EF"/>
    <w:rsid w:val="00535579"/>
    <w:rsid w:val="00535780"/>
    <w:rsid w:val="00535815"/>
    <w:rsid w:val="00535AAB"/>
    <w:rsid w:val="00535B13"/>
    <w:rsid w:val="00535B93"/>
    <w:rsid w:val="00535FED"/>
    <w:rsid w:val="0053602C"/>
    <w:rsid w:val="0053610C"/>
    <w:rsid w:val="00536180"/>
    <w:rsid w:val="005361B1"/>
    <w:rsid w:val="0053622A"/>
    <w:rsid w:val="00536493"/>
    <w:rsid w:val="0053668A"/>
    <w:rsid w:val="005366D2"/>
    <w:rsid w:val="0053677A"/>
    <w:rsid w:val="0053688F"/>
    <w:rsid w:val="00536B4A"/>
    <w:rsid w:val="00536B54"/>
    <w:rsid w:val="00536D92"/>
    <w:rsid w:val="00536E35"/>
    <w:rsid w:val="00537288"/>
    <w:rsid w:val="005373DC"/>
    <w:rsid w:val="005375DD"/>
    <w:rsid w:val="00537658"/>
    <w:rsid w:val="0053771E"/>
    <w:rsid w:val="00537793"/>
    <w:rsid w:val="005377A0"/>
    <w:rsid w:val="005378D8"/>
    <w:rsid w:val="005379F4"/>
    <w:rsid w:val="00537A3F"/>
    <w:rsid w:val="00537AD0"/>
    <w:rsid w:val="00540086"/>
    <w:rsid w:val="0054015A"/>
    <w:rsid w:val="005401BE"/>
    <w:rsid w:val="005401DD"/>
    <w:rsid w:val="0054022D"/>
    <w:rsid w:val="00540672"/>
    <w:rsid w:val="00540795"/>
    <w:rsid w:val="00540823"/>
    <w:rsid w:val="00540986"/>
    <w:rsid w:val="00540BD5"/>
    <w:rsid w:val="00540C03"/>
    <w:rsid w:val="00540E8B"/>
    <w:rsid w:val="00540ECC"/>
    <w:rsid w:val="00540ED3"/>
    <w:rsid w:val="00540F3C"/>
    <w:rsid w:val="00541004"/>
    <w:rsid w:val="00541047"/>
    <w:rsid w:val="0054119D"/>
    <w:rsid w:val="00541343"/>
    <w:rsid w:val="005416A4"/>
    <w:rsid w:val="005417B1"/>
    <w:rsid w:val="00541C2F"/>
    <w:rsid w:val="00541CD8"/>
    <w:rsid w:val="00541E07"/>
    <w:rsid w:val="00541E9C"/>
    <w:rsid w:val="0054205C"/>
    <w:rsid w:val="005421E5"/>
    <w:rsid w:val="00542432"/>
    <w:rsid w:val="0054247D"/>
    <w:rsid w:val="005426B6"/>
    <w:rsid w:val="005426C9"/>
    <w:rsid w:val="00542730"/>
    <w:rsid w:val="0054280C"/>
    <w:rsid w:val="00542A1E"/>
    <w:rsid w:val="00542C37"/>
    <w:rsid w:val="00542CB6"/>
    <w:rsid w:val="00542D3A"/>
    <w:rsid w:val="00542D7B"/>
    <w:rsid w:val="00542D9A"/>
    <w:rsid w:val="00542DFA"/>
    <w:rsid w:val="0054300C"/>
    <w:rsid w:val="005430DC"/>
    <w:rsid w:val="00543149"/>
    <w:rsid w:val="005431C3"/>
    <w:rsid w:val="005431F4"/>
    <w:rsid w:val="0054324C"/>
    <w:rsid w:val="005432E1"/>
    <w:rsid w:val="005433AF"/>
    <w:rsid w:val="005433E9"/>
    <w:rsid w:val="00543441"/>
    <w:rsid w:val="00543580"/>
    <w:rsid w:val="005437D8"/>
    <w:rsid w:val="00543B61"/>
    <w:rsid w:val="00543B9D"/>
    <w:rsid w:val="00543D53"/>
    <w:rsid w:val="00543E5C"/>
    <w:rsid w:val="00543EA9"/>
    <w:rsid w:val="00543F96"/>
    <w:rsid w:val="00543FE9"/>
    <w:rsid w:val="00543FEB"/>
    <w:rsid w:val="00544077"/>
    <w:rsid w:val="0054426B"/>
    <w:rsid w:val="0054427A"/>
    <w:rsid w:val="005444B6"/>
    <w:rsid w:val="005444E8"/>
    <w:rsid w:val="005447C8"/>
    <w:rsid w:val="005447E2"/>
    <w:rsid w:val="005449EB"/>
    <w:rsid w:val="00544B3B"/>
    <w:rsid w:val="00544B74"/>
    <w:rsid w:val="00544B96"/>
    <w:rsid w:val="00544D00"/>
    <w:rsid w:val="00544D9E"/>
    <w:rsid w:val="00544DC1"/>
    <w:rsid w:val="0054501F"/>
    <w:rsid w:val="005451A9"/>
    <w:rsid w:val="005451EB"/>
    <w:rsid w:val="00545599"/>
    <w:rsid w:val="005455B5"/>
    <w:rsid w:val="00545685"/>
    <w:rsid w:val="005458D5"/>
    <w:rsid w:val="0054595E"/>
    <w:rsid w:val="005459CD"/>
    <w:rsid w:val="005459F1"/>
    <w:rsid w:val="00545B55"/>
    <w:rsid w:val="00545BC9"/>
    <w:rsid w:val="00545C27"/>
    <w:rsid w:val="00545CB5"/>
    <w:rsid w:val="00545F74"/>
    <w:rsid w:val="00546061"/>
    <w:rsid w:val="00546215"/>
    <w:rsid w:val="00546493"/>
    <w:rsid w:val="00546508"/>
    <w:rsid w:val="005466E9"/>
    <w:rsid w:val="005467D0"/>
    <w:rsid w:val="00546899"/>
    <w:rsid w:val="0054693A"/>
    <w:rsid w:val="00546AE6"/>
    <w:rsid w:val="00546BA1"/>
    <w:rsid w:val="00546CB5"/>
    <w:rsid w:val="00546D87"/>
    <w:rsid w:val="0054711C"/>
    <w:rsid w:val="005472E2"/>
    <w:rsid w:val="005473E2"/>
    <w:rsid w:val="0054742D"/>
    <w:rsid w:val="005474F9"/>
    <w:rsid w:val="0054787A"/>
    <w:rsid w:val="00547932"/>
    <w:rsid w:val="00547951"/>
    <w:rsid w:val="00547DF3"/>
    <w:rsid w:val="005502EB"/>
    <w:rsid w:val="0055054D"/>
    <w:rsid w:val="00550718"/>
    <w:rsid w:val="005507BF"/>
    <w:rsid w:val="00550A8F"/>
    <w:rsid w:val="00550ACC"/>
    <w:rsid w:val="00550BAE"/>
    <w:rsid w:val="00550BB8"/>
    <w:rsid w:val="00550C6E"/>
    <w:rsid w:val="00550C91"/>
    <w:rsid w:val="00550DBF"/>
    <w:rsid w:val="00550EDF"/>
    <w:rsid w:val="00551015"/>
    <w:rsid w:val="0055102A"/>
    <w:rsid w:val="00551104"/>
    <w:rsid w:val="005511E7"/>
    <w:rsid w:val="00551451"/>
    <w:rsid w:val="00551603"/>
    <w:rsid w:val="00551A0D"/>
    <w:rsid w:val="00551A2B"/>
    <w:rsid w:val="00551A9D"/>
    <w:rsid w:val="00551DDB"/>
    <w:rsid w:val="00551DFB"/>
    <w:rsid w:val="00551F7A"/>
    <w:rsid w:val="0055204F"/>
    <w:rsid w:val="00552066"/>
    <w:rsid w:val="00552160"/>
    <w:rsid w:val="005523BC"/>
    <w:rsid w:val="00552A7C"/>
    <w:rsid w:val="00552AE4"/>
    <w:rsid w:val="00552C18"/>
    <w:rsid w:val="00552CCC"/>
    <w:rsid w:val="00553085"/>
    <w:rsid w:val="00553185"/>
    <w:rsid w:val="00553189"/>
    <w:rsid w:val="00553192"/>
    <w:rsid w:val="005531EB"/>
    <w:rsid w:val="0055322D"/>
    <w:rsid w:val="005532F4"/>
    <w:rsid w:val="0055336A"/>
    <w:rsid w:val="005533C7"/>
    <w:rsid w:val="0055343B"/>
    <w:rsid w:val="0055364B"/>
    <w:rsid w:val="005537F2"/>
    <w:rsid w:val="0055398B"/>
    <w:rsid w:val="00553992"/>
    <w:rsid w:val="00553E0F"/>
    <w:rsid w:val="00553E75"/>
    <w:rsid w:val="00553EBB"/>
    <w:rsid w:val="00553F26"/>
    <w:rsid w:val="00553F46"/>
    <w:rsid w:val="005541A4"/>
    <w:rsid w:val="00554226"/>
    <w:rsid w:val="00554304"/>
    <w:rsid w:val="0055441F"/>
    <w:rsid w:val="00554477"/>
    <w:rsid w:val="005544D6"/>
    <w:rsid w:val="00554511"/>
    <w:rsid w:val="00554A84"/>
    <w:rsid w:val="00554F9E"/>
    <w:rsid w:val="005551D3"/>
    <w:rsid w:val="005554E4"/>
    <w:rsid w:val="005555BD"/>
    <w:rsid w:val="00555609"/>
    <w:rsid w:val="00555822"/>
    <w:rsid w:val="005559E2"/>
    <w:rsid w:val="00555C08"/>
    <w:rsid w:val="0055607A"/>
    <w:rsid w:val="005560D5"/>
    <w:rsid w:val="005562D2"/>
    <w:rsid w:val="005562E8"/>
    <w:rsid w:val="0055650D"/>
    <w:rsid w:val="0055657C"/>
    <w:rsid w:val="005565A8"/>
    <w:rsid w:val="00556747"/>
    <w:rsid w:val="00556748"/>
    <w:rsid w:val="00556761"/>
    <w:rsid w:val="00556B43"/>
    <w:rsid w:val="00556BC3"/>
    <w:rsid w:val="00556E89"/>
    <w:rsid w:val="00556FA4"/>
    <w:rsid w:val="00556FD5"/>
    <w:rsid w:val="005573CA"/>
    <w:rsid w:val="005575BF"/>
    <w:rsid w:val="005576AA"/>
    <w:rsid w:val="00557839"/>
    <w:rsid w:val="00557A81"/>
    <w:rsid w:val="00557A99"/>
    <w:rsid w:val="00557BCE"/>
    <w:rsid w:val="00557CB8"/>
    <w:rsid w:val="00557DDC"/>
    <w:rsid w:val="00557ED1"/>
    <w:rsid w:val="00557F1F"/>
    <w:rsid w:val="00557F36"/>
    <w:rsid w:val="0056005D"/>
    <w:rsid w:val="00560188"/>
    <w:rsid w:val="00560574"/>
    <w:rsid w:val="005605BC"/>
    <w:rsid w:val="005606A3"/>
    <w:rsid w:val="005607AC"/>
    <w:rsid w:val="0056085B"/>
    <w:rsid w:val="0056094F"/>
    <w:rsid w:val="00560F95"/>
    <w:rsid w:val="0056112E"/>
    <w:rsid w:val="00561182"/>
    <w:rsid w:val="005612BB"/>
    <w:rsid w:val="0056153D"/>
    <w:rsid w:val="0056156A"/>
    <w:rsid w:val="00561640"/>
    <w:rsid w:val="0056180F"/>
    <w:rsid w:val="00561990"/>
    <w:rsid w:val="00561A03"/>
    <w:rsid w:val="00561C0A"/>
    <w:rsid w:val="00561C39"/>
    <w:rsid w:val="00561C93"/>
    <w:rsid w:val="00561E28"/>
    <w:rsid w:val="00561ECA"/>
    <w:rsid w:val="00561EFE"/>
    <w:rsid w:val="0056207A"/>
    <w:rsid w:val="00562334"/>
    <w:rsid w:val="0056251B"/>
    <w:rsid w:val="00562523"/>
    <w:rsid w:val="0056274F"/>
    <w:rsid w:val="005627A6"/>
    <w:rsid w:val="005627BB"/>
    <w:rsid w:val="0056283C"/>
    <w:rsid w:val="00562971"/>
    <w:rsid w:val="005629A3"/>
    <w:rsid w:val="005629FB"/>
    <w:rsid w:val="00562BD6"/>
    <w:rsid w:val="00562C71"/>
    <w:rsid w:val="00562D6D"/>
    <w:rsid w:val="00562E4D"/>
    <w:rsid w:val="005632D6"/>
    <w:rsid w:val="00563327"/>
    <w:rsid w:val="00563561"/>
    <w:rsid w:val="0056356E"/>
    <w:rsid w:val="0056360C"/>
    <w:rsid w:val="005636D7"/>
    <w:rsid w:val="0056371A"/>
    <w:rsid w:val="005638F8"/>
    <w:rsid w:val="00563AB1"/>
    <w:rsid w:val="00563ADD"/>
    <w:rsid w:val="00563B0A"/>
    <w:rsid w:val="00563B4C"/>
    <w:rsid w:val="00563C19"/>
    <w:rsid w:val="00563DF0"/>
    <w:rsid w:val="00563DF5"/>
    <w:rsid w:val="00563FA8"/>
    <w:rsid w:val="00564085"/>
    <w:rsid w:val="005642A8"/>
    <w:rsid w:val="0056433F"/>
    <w:rsid w:val="00564434"/>
    <w:rsid w:val="005644E3"/>
    <w:rsid w:val="005645F9"/>
    <w:rsid w:val="00564603"/>
    <w:rsid w:val="005646EF"/>
    <w:rsid w:val="005647CE"/>
    <w:rsid w:val="00564997"/>
    <w:rsid w:val="00564AF8"/>
    <w:rsid w:val="00564CAF"/>
    <w:rsid w:val="00564E67"/>
    <w:rsid w:val="00564E7E"/>
    <w:rsid w:val="00564FE3"/>
    <w:rsid w:val="00565283"/>
    <w:rsid w:val="0056551F"/>
    <w:rsid w:val="005655D9"/>
    <w:rsid w:val="0056561A"/>
    <w:rsid w:val="00565696"/>
    <w:rsid w:val="005657DA"/>
    <w:rsid w:val="005657F4"/>
    <w:rsid w:val="005658C8"/>
    <w:rsid w:val="00565C43"/>
    <w:rsid w:val="00565C67"/>
    <w:rsid w:val="00565E85"/>
    <w:rsid w:val="00565E9E"/>
    <w:rsid w:val="00565FCF"/>
    <w:rsid w:val="0056600D"/>
    <w:rsid w:val="005661C4"/>
    <w:rsid w:val="005662BB"/>
    <w:rsid w:val="005663E3"/>
    <w:rsid w:val="00566643"/>
    <w:rsid w:val="00566921"/>
    <w:rsid w:val="005669A6"/>
    <w:rsid w:val="00566D24"/>
    <w:rsid w:val="00566DC7"/>
    <w:rsid w:val="00566EFF"/>
    <w:rsid w:val="00566FB2"/>
    <w:rsid w:val="00567150"/>
    <w:rsid w:val="00567310"/>
    <w:rsid w:val="00567396"/>
    <w:rsid w:val="00567397"/>
    <w:rsid w:val="005673C9"/>
    <w:rsid w:val="0056765A"/>
    <w:rsid w:val="005676B3"/>
    <w:rsid w:val="00567893"/>
    <w:rsid w:val="00570093"/>
    <w:rsid w:val="00570108"/>
    <w:rsid w:val="00570217"/>
    <w:rsid w:val="00570246"/>
    <w:rsid w:val="0057067B"/>
    <w:rsid w:val="0057076F"/>
    <w:rsid w:val="00570784"/>
    <w:rsid w:val="00570C64"/>
    <w:rsid w:val="00570D91"/>
    <w:rsid w:val="00570DA4"/>
    <w:rsid w:val="00570EB3"/>
    <w:rsid w:val="00571011"/>
    <w:rsid w:val="00571040"/>
    <w:rsid w:val="00571291"/>
    <w:rsid w:val="0057149F"/>
    <w:rsid w:val="005715CD"/>
    <w:rsid w:val="00571693"/>
    <w:rsid w:val="0057180B"/>
    <w:rsid w:val="00571861"/>
    <w:rsid w:val="00571BE6"/>
    <w:rsid w:val="00571C6F"/>
    <w:rsid w:val="00571D19"/>
    <w:rsid w:val="00571D8B"/>
    <w:rsid w:val="00571DA8"/>
    <w:rsid w:val="00571F9A"/>
    <w:rsid w:val="00571FD6"/>
    <w:rsid w:val="00572600"/>
    <w:rsid w:val="00572636"/>
    <w:rsid w:val="00572991"/>
    <w:rsid w:val="00572B8F"/>
    <w:rsid w:val="00572BE1"/>
    <w:rsid w:val="00572BFC"/>
    <w:rsid w:val="00572C8B"/>
    <w:rsid w:val="00572E93"/>
    <w:rsid w:val="00572F54"/>
    <w:rsid w:val="005730C8"/>
    <w:rsid w:val="005731A6"/>
    <w:rsid w:val="005732AD"/>
    <w:rsid w:val="005732C9"/>
    <w:rsid w:val="00573301"/>
    <w:rsid w:val="00573381"/>
    <w:rsid w:val="005733E6"/>
    <w:rsid w:val="005735AF"/>
    <w:rsid w:val="00573665"/>
    <w:rsid w:val="00573991"/>
    <w:rsid w:val="005739E8"/>
    <w:rsid w:val="00573E9B"/>
    <w:rsid w:val="00573EF2"/>
    <w:rsid w:val="00573F20"/>
    <w:rsid w:val="00573F31"/>
    <w:rsid w:val="005740B1"/>
    <w:rsid w:val="005741F5"/>
    <w:rsid w:val="0057423B"/>
    <w:rsid w:val="0057438A"/>
    <w:rsid w:val="005743EE"/>
    <w:rsid w:val="00574499"/>
    <w:rsid w:val="005744B0"/>
    <w:rsid w:val="0057490D"/>
    <w:rsid w:val="00574B20"/>
    <w:rsid w:val="00574C6A"/>
    <w:rsid w:val="00574F4A"/>
    <w:rsid w:val="005750F1"/>
    <w:rsid w:val="00575172"/>
    <w:rsid w:val="005752DD"/>
    <w:rsid w:val="005755C1"/>
    <w:rsid w:val="0057573E"/>
    <w:rsid w:val="005757EB"/>
    <w:rsid w:val="00575844"/>
    <w:rsid w:val="0057585C"/>
    <w:rsid w:val="005758D6"/>
    <w:rsid w:val="00575913"/>
    <w:rsid w:val="0057594C"/>
    <w:rsid w:val="00575A2B"/>
    <w:rsid w:val="00575E77"/>
    <w:rsid w:val="00575EBF"/>
    <w:rsid w:val="00575EC3"/>
    <w:rsid w:val="005761CE"/>
    <w:rsid w:val="005761DE"/>
    <w:rsid w:val="005762D3"/>
    <w:rsid w:val="005764CB"/>
    <w:rsid w:val="005769C0"/>
    <w:rsid w:val="00576ADC"/>
    <w:rsid w:val="00576DD3"/>
    <w:rsid w:val="00576DF8"/>
    <w:rsid w:val="00576E7B"/>
    <w:rsid w:val="00576FE3"/>
    <w:rsid w:val="00577060"/>
    <w:rsid w:val="00577217"/>
    <w:rsid w:val="0057721F"/>
    <w:rsid w:val="0057734C"/>
    <w:rsid w:val="00577394"/>
    <w:rsid w:val="005773D7"/>
    <w:rsid w:val="005774FB"/>
    <w:rsid w:val="0057778B"/>
    <w:rsid w:val="005777E9"/>
    <w:rsid w:val="00577C07"/>
    <w:rsid w:val="00577C6D"/>
    <w:rsid w:val="00577CF5"/>
    <w:rsid w:val="00577FD0"/>
    <w:rsid w:val="005800D6"/>
    <w:rsid w:val="0058010E"/>
    <w:rsid w:val="005802DD"/>
    <w:rsid w:val="0058037C"/>
    <w:rsid w:val="005804A6"/>
    <w:rsid w:val="005804B3"/>
    <w:rsid w:val="0058058D"/>
    <w:rsid w:val="00580761"/>
    <w:rsid w:val="00580904"/>
    <w:rsid w:val="005809C1"/>
    <w:rsid w:val="00580A5C"/>
    <w:rsid w:val="00580AB3"/>
    <w:rsid w:val="00580B3F"/>
    <w:rsid w:val="00580CE6"/>
    <w:rsid w:val="00580D5D"/>
    <w:rsid w:val="00580E08"/>
    <w:rsid w:val="00581044"/>
    <w:rsid w:val="0058114B"/>
    <w:rsid w:val="0058117E"/>
    <w:rsid w:val="005811D0"/>
    <w:rsid w:val="005811D5"/>
    <w:rsid w:val="005813C0"/>
    <w:rsid w:val="00581462"/>
    <w:rsid w:val="005814B4"/>
    <w:rsid w:val="005814E3"/>
    <w:rsid w:val="0058156B"/>
    <w:rsid w:val="005815C8"/>
    <w:rsid w:val="00581718"/>
    <w:rsid w:val="00581800"/>
    <w:rsid w:val="00581C61"/>
    <w:rsid w:val="00581C88"/>
    <w:rsid w:val="00581F03"/>
    <w:rsid w:val="00581F25"/>
    <w:rsid w:val="00581FF9"/>
    <w:rsid w:val="00582016"/>
    <w:rsid w:val="0058228D"/>
    <w:rsid w:val="00582293"/>
    <w:rsid w:val="0058252E"/>
    <w:rsid w:val="00582551"/>
    <w:rsid w:val="00582672"/>
    <w:rsid w:val="00582714"/>
    <w:rsid w:val="005827E1"/>
    <w:rsid w:val="00582AAA"/>
    <w:rsid w:val="00582C09"/>
    <w:rsid w:val="00582C5D"/>
    <w:rsid w:val="00582DB2"/>
    <w:rsid w:val="00582FC3"/>
    <w:rsid w:val="0058333E"/>
    <w:rsid w:val="00583513"/>
    <w:rsid w:val="00583706"/>
    <w:rsid w:val="00583793"/>
    <w:rsid w:val="005838CD"/>
    <w:rsid w:val="00583902"/>
    <w:rsid w:val="00583B29"/>
    <w:rsid w:val="00583BB3"/>
    <w:rsid w:val="00583DAF"/>
    <w:rsid w:val="00583DD9"/>
    <w:rsid w:val="00583E1C"/>
    <w:rsid w:val="00583ED2"/>
    <w:rsid w:val="00583FEE"/>
    <w:rsid w:val="00584108"/>
    <w:rsid w:val="00584225"/>
    <w:rsid w:val="005842B0"/>
    <w:rsid w:val="005848D3"/>
    <w:rsid w:val="00584908"/>
    <w:rsid w:val="00584B0B"/>
    <w:rsid w:val="00584C59"/>
    <w:rsid w:val="00584C79"/>
    <w:rsid w:val="00584EA3"/>
    <w:rsid w:val="005855CF"/>
    <w:rsid w:val="00585721"/>
    <w:rsid w:val="005857A3"/>
    <w:rsid w:val="005858AE"/>
    <w:rsid w:val="00585A6C"/>
    <w:rsid w:val="005860EC"/>
    <w:rsid w:val="00586192"/>
    <w:rsid w:val="005861A1"/>
    <w:rsid w:val="005862EF"/>
    <w:rsid w:val="005863EF"/>
    <w:rsid w:val="00586425"/>
    <w:rsid w:val="0058658A"/>
    <w:rsid w:val="0058660D"/>
    <w:rsid w:val="00586631"/>
    <w:rsid w:val="00586651"/>
    <w:rsid w:val="005866AA"/>
    <w:rsid w:val="005868F0"/>
    <w:rsid w:val="00586939"/>
    <w:rsid w:val="005869E4"/>
    <w:rsid w:val="00586BE8"/>
    <w:rsid w:val="00586D64"/>
    <w:rsid w:val="00586FF5"/>
    <w:rsid w:val="005870DF"/>
    <w:rsid w:val="0058711A"/>
    <w:rsid w:val="005871C3"/>
    <w:rsid w:val="00587284"/>
    <w:rsid w:val="005872A6"/>
    <w:rsid w:val="005872B2"/>
    <w:rsid w:val="00587329"/>
    <w:rsid w:val="0058769C"/>
    <w:rsid w:val="0058778C"/>
    <w:rsid w:val="00587792"/>
    <w:rsid w:val="0058781F"/>
    <w:rsid w:val="005879FF"/>
    <w:rsid w:val="00587EBF"/>
    <w:rsid w:val="0059009F"/>
    <w:rsid w:val="005900DD"/>
    <w:rsid w:val="00590159"/>
    <w:rsid w:val="005901FF"/>
    <w:rsid w:val="005904DE"/>
    <w:rsid w:val="0059066D"/>
    <w:rsid w:val="00590A0C"/>
    <w:rsid w:val="00590C1B"/>
    <w:rsid w:val="00590CF5"/>
    <w:rsid w:val="00590D1B"/>
    <w:rsid w:val="00590D2F"/>
    <w:rsid w:val="00590D78"/>
    <w:rsid w:val="00590D7B"/>
    <w:rsid w:val="00590DBD"/>
    <w:rsid w:val="00590FD3"/>
    <w:rsid w:val="0059107C"/>
    <w:rsid w:val="00591420"/>
    <w:rsid w:val="005917D3"/>
    <w:rsid w:val="0059195D"/>
    <w:rsid w:val="00591A05"/>
    <w:rsid w:val="00591AB1"/>
    <w:rsid w:val="00591E04"/>
    <w:rsid w:val="00591E27"/>
    <w:rsid w:val="00591E67"/>
    <w:rsid w:val="00591F78"/>
    <w:rsid w:val="0059210F"/>
    <w:rsid w:val="0059224D"/>
    <w:rsid w:val="0059255E"/>
    <w:rsid w:val="005925CE"/>
    <w:rsid w:val="005925F1"/>
    <w:rsid w:val="005926B0"/>
    <w:rsid w:val="005928EF"/>
    <w:rsid w:val="00592927"/>
    <w:rsid w:val="00592942"/>
    <w:rsid w:val="00592B10"/>
    <w:rsid w:val="00592B1B"/>
    <w:rsid w:val="00592C28"/>
    <w:rsid w:val="00592DD7"/>
    <w:rsid w:val="00592F8F"/>
    <w:rsid w:val="00592FFB"/>
    <w:rsid w:val="0059318F"/>
    <w:rsid w:val="0059341A"/>
    <w:rsid w:val="005934EF"/>
    <w:rsid w:val="00593650"/>
    <w:rsid w:val="00593904"/>
    <w:rsid w:val="00593A99"/>
    <w:rsid w:val="00594156"/>
    <w:rsid w:val="00594585"/>
    <w:rsid w:val="0059471A"/>
    <w:rsid w:val="005948D4"/>
    <w:rsid w:val="00594A62"/>
    <w:rsid w:val="00594B2D"/>
    <w:rsid w:val="00594CFC"/>
    <w:rsid w:val="00594D7F"/>
    <w:rsid w:val="00594E50"/>
    <w:rsid w:val="00594F09"/>
    <w:rsid w:val="005950F6"/>
    <w:rsid w:val="00595135"/>
    <w:rsid w:val="00595160"/>
    <w:rsid w:val="005952E6"/>
    <w:rsid w:val="00595441"/>
    <w:rsid w:val="00595503"/>
    <w:rsid w:val="005955D3"/>
    <w:rsid w:val="00595980"/>
    <w:rsid w:val="0059598F"/>
    <w:rsid w:val="00595D1B"/>
    <w:rsid w:val="00595E36"/>
    <w:rsid w:val="00595FE0"/>
    <w:rsid w:val="0059602E"/>
    <w:rsid w:val="00596130"/>
    <w:rsid w:val="00596154"/>
    <w:rsid w:val="005964F8"/>
    <w:rsid w:val="005965C7"/>
    <w:rsid w:val="00596680"/>
    <w:rsid w:val="005967CE"/>
    <w:rsid w:val="00596858"/>
    <w:rsid w:val="00596860"/>
    <w:rsid w:val="00596BE8"/>
    <w:rsid w:val="00596E2F"/>
    <w:rsid w:val="00596ED2"/>
    <w:rsid w:val="00596EF0"/>
    <w:rsid w:val="005972B1"/>
    <w:rsid w:val="00597331"/>
    <w:rsid w:val="00597350"/>
    <w:rsid w:val="0059747A"/>
    <w:rsid w:val="00597480"/>
    <w:rsid w:val="00597491"/>
    <w:rsid w:val="00597546"/>
    <w:rsid w:val="00597565"/>
    <w:rsid w:val="005975E9"/>
    <w:rsid w:val="0059766A"/>
    <w:rsid w:val="00597798"/>
    <w:rsid w:val="005977E8"/>
    <w:rsid w:val="00597BB8"/>
    <w:rsid w:val="00597BEB"/>
    <w:rsid w:val="00597C99"/>
    <w:rsid w:val="00597DCE"/>
    <w:rsid w:val="00597F24"/>
    <w:rsid w:val="005A003B"/>
    <w:rsid w:val="005A01F8"/>
    <w:rsid w:val="005A03A6"/>
    <w:rsid w:val="005A03BB"/>
    <w:rsid w:val="005A0488"/>
    <w:rsid w:val="005A052D"/>
    <w:rsid w:val="005A05F6"/>
    <w:rsid w:val="005A060D"/>
    <w:rsid w:val="005A0757"/>
    <w:rsid w:val="005A0AEF"/>
    <w:rsid w:val="005A0D79"/>
    <w:rsid w:val="005A0D85"/>
    <w:rsid w:val="005A0E70"/>
    <w:rsid w:val="005A1013"/>
    <w:rsid w:val="005A101A"/>
    <w:rsid w:val="005A10C9"/>
    <w:rsid w:val="005A112D"/>
    <w:rsid w:val="005A11A4"/>
    <w:rsid w:val="005A1242"/>
    <w:rsid w:val="005A13A6"/>
    <w:rsid w:val="005A1482"/>
    <w:rsid w:val="005A1491"/>
    <w:rsid w:val="005A166C"/>
    <w:rsid w:val="005A16C5"/>
    <w:rsid w:val="005A16FC"/>
    <w:rsid w:val="005A1751"/>
    <w:rsid w:val="005A1796"/>
    <w:rsid w:val="005A17EE"/>
    <w:rsid w:val="005A17FA"/>
    <w:rsid w:val="005A19E5"/>
    <w:rsid w:val="005A1D47"/>
    <w:rsid w:val="005A1EE2"/>
    <w:rsid w:val="005A1F43"/>
    <w:rsid w:val="005A1FDD"/>
    <w:rsid w:val="005A2197"/>
    <w:rsid w:val="005A23EA"/>
    <w:rsid w:val="005A2460"/>
    <w:rsid w:val="005A24B9"/>
    <w:rsid w:val="005A2598"/>
    <w:rsid w:val="005A25F1"/>
    <w:rsid w:val="005A2757"/>
    <w:rsid w:val="005A2812"/>
    <w:rsid w:val="005A283A"/>
    <w:rsid w:val="005A28E7"/>
    <w:rsid w:val="005A2931"/>
    <w:rsid w:val="005A2D07"/>
    <w:rsid w:val="005A2D2A"/>
    <w:rsid w:val="005A2E71"/>
    <w:rsid w:val="005A3012"/>
    <w:rsid w:val="005A3145"/>
    <w:rsid w:val="005A327A"/>
    <w:rsid w:val="005A3462"/>
    <w:rsid w:val="005A3752"/>
    <w:rsid w:val="005A375B"/>
    <w:rsid w:val="005A383A"/>
    <w:rsid w:val="005A3877"/>
    <w:rsid w:val="005A394A"/>
    <w:rsid w:val="005A3A13"/>
    <w:rsid w:val="005A3AF9"/>
    <w:rsid w:val="005A3B8C"/>
    <w:rsid w:val="005A3B8D"/>
    <w:rsid w:val="005A3BF6"/>
    <w:rsid w:val="005A3C9C"/>
    <w:rsid w:val="005A3DE9"/>
    <w:rsid w:val="005A3F37"/>
    <w:rsid w:val="005A3F41"/>
    <w:rsid w:val="005A3FA0"/>
    <w:rsid w:val="005A4043"/>
    <w:rsid w:val="005A431B"/>
    <w:rsid w:val="005A460F"/>
    <w:rsid w:val="005A4724"/>
    <w:rsid w:val="005A472F"/>
    <w:rsid w:val="005A479B"/>
    <w:rsid w:val="005A47C5"/>
    <w:rsid w:val="005A47F6"/>
    <w:rsid w:val="005A483C"/>
    <w:rsid w:val="005A49C6"/>
    <w:rsid w:val="005A52E1"/>
    <w:rsid w:val="005A52E2"/>
    <w:rsid w:val="005A55A3"/>
    <w:rsid w:val="005A5862"/>
    <w:rsid w:val="005A5A5C"/>
    <w:rsid w:val="005A6077"/>
    <w:rsid w:val="005A6173"/>
    <w:rsid w:val="005A6381"/>
    <w:rsid w:val="005A652B"/>
    <w:rsid w:val="005A66E6"/>
    <w:rsid w:val="005A6833"/>
    <w:rsid w:val="005A6ABD"/>
    <w:rsid w:val="005A6B48"/>
    <w:rsid w:val="005A6B4A"/>
    <w:rsid w:val="005A6C78"/>
    <w:rsid w:val="005A6DE2"/>
    <w:rsid w:val="005A6E12"/>
    <w:rsid w:val="005A767D"/>
    <w:rsid w:val="005A785A"/>
    <w:rsid w:val="005A79AF"/>
    <w:rsid w:val="005A7A06"/>
    <w:rsid w:val="005A7AD4"/>
    <w:rsid w:val="005A7C0A"/>
    <w:rsid w:val="005A7C3C"/>
    <w:rsid w:val="005A7D3E"/>
    <w:rsid w:val="005A7D4B"/>
    <w:rsid w:val="005A7DD6"/>
    <w:rsid w:val="005A7ECB"/>
    <w:rsid w:val="005A7F06"/>
    <w:rsid w:val="005B003B"/>
    <w:rsid w:val="005B004A"/>
    <w:rsid w:val="005B010D"/>
    <w:rsid w:val="005B0161"/>
    <w:rsid w:val="005B02DD"/>
    <w:rsid w:val="005B033A"/>
    <w:rsid w:val="005B03A9"/>
    <w:rsid w:val="005B04E5"/>
    <w:rsid w:val="005B08E0"/>
    <w:rsid w:val="005B0B1B"/>
    <w:rsid w:val="005B0C84"/>
    <w:rsid w:val="005B0C8F"/>
    <w:rsid w:val="005B0CCE"/>
    <w:rsid w:val="005B0D6C"/>
    <w:rsid w:val="005B0D7C"/>
    <w:rsid w:val="005B0E35"/>
    <w:rsid w:val="005B0FDB"/>
    <w:rsid w:val="005B104C"/>
    <w:rsid w:val="005B131F"/>
    <w:rsid w:val="005B14D9"/>
    <w:rsid w:val="005B1592"/>
    <w:rsid w:val="005B1669"/>
    <w:rsid w:val="005B16B9"/>
    <w:rsid w:val="005B16F8"/>
    <w:rsid w:val="005B17C0"/>
    <w:rsid w:val="005B180F"/>
    <w:rsid w:val="005B18D4"/>
    <w:rsid w:val="005B1969"/>
    <w:rsid w:val="005B1A15"/>
    <w:rsid w:val="005B1BC1"/>
    <w:rsid w:val="005B1C51"/>
    <w:rsid w:val="005B1CB5"/>
    <w:rsid w:val="005B1DFB"/>
    <w:rsid w:val="005B1E00"/>
    <w:rsid w:val="005B1E9D"/>
    <w:rsid w:val="005B271F"/>
    <w:rsid w:val="005B27B6"/>
    <w:rsid w:val="005B27FD"/>
    <w:rsid w:val="005B287D"/>
    <w:rsid w:val="005B2AAC"/>
    <w:rsid w:val="005B2BAA"/>
    <w:rsid w:val="005B2C51"/>
    <w:rsid w:val="005B2D0B"/>
    <w:rsid w:val="005B2DBA"/>
    <w:rsid w:val="005B2F2A"/>
    <w:rsid w:val="005B2F6C"/>
    <w:rsid w:val="005B2FCA"/>
    <w:rsid w:val="005B3016"/>
    <w:rsid w:val="005B33A5"/>
    <w:rsid w:val="005B3657"/>
    <w:rsid w:val="005B3794"/>
    <w:rsid w:val="005B3963"/>
    <w:rsid w:val="005B39B8"/>
    <w:rsid w:val="005B3A90"/>
    <w:rsid w:val="005B3ACF"/>
    <w:rsid w:val="005B3C09"/>
    <w:rsid w:val="005B3C34"/>
    <w:rsid w:val="005B3E0D"/>
    <w:rsid w:val="005B3EFE"/>
    <w:rsid w:val="005B3F71"/>
    <w:rsid w:val="005B3F8C"/>
    <w:rsid w:val="005B42EC"/>
    <w:rsid w:val="005B44B5"/>
    <w:rsid w:val="005B4801"/>
    <w:rsid w:val="005B4882"/>
    <w:rsid w:val="005B4C36"/>
    <w:rsid w:val="005B4D13"/>
    <w:rsid w:val="005B4E0C"/>
    <w:rsid w:val="005B4E55"/>
    <w:rsid w:val="005B4EEB"/>
    <w:rsid w:val="005B5031"/>
    <w:rsid w:val="005B517C"/>
    <w:rsid w:val="005B5199"/>
    <w:rsid w:val="005B523C"/>
    <w:rsid w:val="005B52EB"/>
    <w:rsid w:val="005B5330"/>
    <w:rsid w:val="005B5360"/>
    <w:rsid w:val="005B5387"/>
    <w:rsid w:val="005B53E9"/>
    <w:rsid w:val="005B5491"/>
    <w:rsid w:val="005B5510"/>
    <w:rsid w:val="005B55AB"/>
    <w:rsid w:val="005B55CE"/>
    <w:rsid w:val="005B5755"/>
    <w:rsid w:val="005B594E"/>
    <w:rsid w:val="005B595E"/>
    <w:rsid w:val="005B5B19"/>
    <w:rsid w:val="005B5BE6"/>
    <w:rsid w:val="005B5D01"/>
    <w:rsid w:val="005B60FC"/>
    <w:rsid w:val="005B623E"/>
    <w:rsid w:val="005B6246"/>
    <w:rsid w:val="005B632D"/>
    <w:rsid w:val="005B63A2"/>
    <w:rsid w:val="005B63F8"/>
    <w:rsid w:val="005B640E"/>
    <w:rsid w:val="005B644B"/>
    <w:rsid w:val="005B6539"/>
    <w:rsid w:val="005B6914"/>
    <w:rsid w:val="005B6A09"/>
    <w:rsid w:val="005B6D4E"/>
    <w:rsid w:val="005B6DB5"/>
    <w:rsid w:val="005B6DC5"/>
    <w:rsid w:val="005B6E45"/>
    <w:rsid w:val="005B6F1B"/>
    <w:rsid w:val="005B6FA2"/>
    <w:rsid w:val="005B6FE8"/>
    <w:rsid w:val="005B703F"/>
    <w:rsid w:val="005B705D"/>
    <w:rsid w:val="005B7080"/>
    <w:rsid w:val="005B710D"/>
    <w:rsid w:val="005B7126"/>
    <w:rsid w:val="005B717A"/>
    <w:rsid w:val="005B74A5"/>
    <w:rsid w:val="005B772D"/>
    <w:rsid w:val="005B78AF"/>
    <w:rsid w:val="005B7A65"/>
    <w:rsid w:val="005B7C93"/>
    <w:rsid w:val="005B7FC4"/>
    <w:rsid w:val="005B7FF9"/>
    <w:rsid w:val="005C0012"/>
    <w:rsid w:val="005C01D2"/>
    <w:rsid w:val="005C0242"/>
    <w:rsid w:val="005C027D"/>
    <w:rsid w:val="005C02F6"/>
    <w:rsid w:val="005C048C"/>
    <w:rsid w:val="005C05D9"/>
    <w:rsid w:val="005C06FF"/>
    <w:rsid w:val="005C073C"/>
    <w:rsid w:val="005C0839"/>
    <w:rsid w:val="005C089D"/>
    <w:rsid w:val="005C08AB"/>
    <w:rsid w:val="005C0911"/>
    <w:rsid w:val="005C09E1"/>
    <w:rsid w:val="005C0A1D"/>
    <w:rsid w:val="005C0A60"/>
    <w:rsid w:val="005C0D27"/>
    <w:rsid w:val="005C0DC1"/>
    <w:rsid w:val="005C0E3D"/>
    <w:rsid w:val="005C0F5D"/>
    <w:rsid w:val="005C1072"/>
    <w:rsid w:val="005C11BE"/>
    <w:rsid w:val="005C1215"/>
    <w:rsid w:val="005C124F"/>
    <w:rsid w:val="005C149E"/>
    <w:rsid w:val="005C14BC"/>
    <w:rsid w:val="005C150B"/>
    <w:rsid w:val="005C160F"/>
    <w:rsid w:val="005C17C9"/>
    <w:rsid w:val="005C17FF"/>
    <w:rsid w:val="005C18ED"/>
    <w:rsid w:val="005C1919"/>
    <w:rsid w:val="005C1ABC"/>
    <w:rsid w:val="005C1BC8"/>
    <w:rsid w:val="005C1C89"/>
    <w:rsid w:val="005C1D25"/>
    <w:rsid w:val="005C1E46"/>
    <w:rsid w:val="005C1E92"/>
    <w:rsid w:val="005C1F9A"/>
    <w:rsid w:val="005C20B6"/>
    <w:rsid w:val="005C220D"/>
    <w:rsid w:val="005C2373"/>
    <w:rsid w:val="005C23E8"/>
    <w:rsid w:val="005C24C4"/>
    <w:rsid w:val="005C2525"/>
    <w:rsid w:val="005C26AC"/>
    <w:rsid w:val="005C27C7"/>
    <w:rsid w:val="005C286E"/>
    <w:rsid w:val="005C2D1F"/>
    <w:rsid w:val="005C2F2D"/>
    <w:rsid w:val="005C2F7F"/>
    <w:rsid w:val="005C2FE8"/>
    <w:rsid w:val="005C32A0"/>
    <w:rsid w:val="005C32B1"/>
    <w:rsid w:val="005C32F6"/>
    <w:rsid w:val="005C3404"/>
    <w:rsid w:val="005C34A1"/>
    <w:rsid w:val="005C34EB"/>
    <w:rsid w:val="005C3509"/>
    <w:rsid w:val="005C3586"/>
    <w:rsid w:val="005C3761"/>
    <w:rsid w:val="005C3780"/>
    <w:rsid w:val="005C38E6"/>
    <w:rsid w:val="005C3AE6"/>
    <w:rsid w:val="005C3C5B"/>
    <w:rsid w:val="005C3C96"/>
    <w:rsid w:val="005C418C"/>
    <w:rsid w:val="005C426F"/>
    <w:rsid w:val="005C4433"/>
    <w:rsid w:val="005C4490"/>
    <w:rsid w:val="005C45D3"/>
    <w:rsid w:val="005C4667"/>
    <w:rsid w:val="005C46E4"/>
    <w:rsid w:val="005C485A"/>
    <w:rsid w:val="005C4AFB"/>
    <w:rsid w:val="005C4B08"/>
    <w:rsid w:val="005C4C45"/>
    <w:rsid w:val="005C5010"/>
    <w:rsid w:val="005C5037"/>
    <w:rsid w:val="005C5295"/>
    <w:rsid w:val="005C52A6"/>
    <w:rsid w:val="005C53E2"/>
    <w:rsid w:val="005C5431"/>
    <w:rsid w:val="005C55D9"/>
    <w:rsid w:val="005C5605"/>
    <w:rsid w:val="005C5672"/>
    <w:rsid w:val="005C5797"/>
    <w:rsid w:val="005C5B27"/>
    <w:rsid w:val="005C5B82"/>
    <w:rsid w:val="005C5D6A"/>
    <w:rsid w:val="005C5E4E"/>
    <w:rsid w:val="005C5FE4"/>
    <w:rsid w:val="005C6233"/>
    <w:rsid w:val="005C623A"/>
    <w:rsid w:val="005C6301"/>
    <w:rsid w:val="005C631B"/>
    <w:rsid w:val="005C633D"/>
    <w:rsid w:val="005C6398"/>
    <w:rsid w:val="005C6432"/>
    <w:rsid w:val="005C6552"/>
    <w:rsid w:val="005C658C"/>
    <w:rsid w:val="005C65BD"/>
    <w:rsid w:val="005C6759"/>
    <w:rsid w:val="005C6971"/>
    <w:rsid w:val="005C6976"/>
    <w:rsid w:val="005C6A32"/>
    <w:rsid w:val="005C6E8F"/>
    <w:rsid w:val="005C6F51"/>
    <w:rsid w:val="005C6F9A"/>
    <w:rsid w:val="005C6FC9"/>
    <w:rsid w:val="005C71E7"/>
    <w:rsid w:val="005C7335"/>
    <w:rsid w:val="005C7338"/>
    <w:rsid w:val="005C774C"/>
    <w:rsid w:val="005C7777"/>
    <w:rsid w:val="005C7913"/>
    <w:rsid w:val="005C7937"/>
    <w:rsid w:val="005C7D38"/>
    <w:rsid w:val="005C7E60"/>
    <w:rsid w:val="005C7E80"/>
    <w:rsid w:val="005C7FB2"/>
    <w:rsid w:val="005D01E0"/>
    <w:rsid w:val="005D01F3"/>
    <w:rsid w:val="005D03BA"/>
    <w:rsid w:val="005D042B"/>
    <w:rsid w:val="005D0454"/>
    <w:rsid w:val="005D04D6"/>
    <w:rsid w:val="005D0893"/>
    <w:rsid w:val="005D0BF9"/>
    <w:rsid w:val="005D0C93"/>
    <w:rsid w:val="005D0DF9"/>
    <w:rsid w:val="005D0FBD"/>
    <w:rsid w:val="005D125B"/>
    <w:rsid w:val="005D1584"/>
    <w:rsid w:val="005D15DA"/>
    <w:rsid w:val="005D1658"/>
    <w:rsid w:val="005D1689"/>
    <w:rsid w:val="005D17B4"/>
    <w:rsid w:val="005D17FB"/>
    <w:rsid w:val="005D1818"/>
    <w:rsid w:val="005D1A9E"/>
    <w:rsid w:val="005D1BEE"/>
    <w:rsid w:val="005D1CA1"/>
    <w:rsid w:val="005D1CA5"/>
    <w:rsid w:val="005D1E74"/>
    <w:rsid w:val="005D1ECA"/>
    <w:rsid w:val="005D203A"/>
    <w:rsid w:val="005D221D"/>
    <w:rsid w:val="005D22E9"/>
    <w:rsid w:val="005D2399"/>
    <w:rsid w:val="005D2459"/>
    <w:rsid w:val="005D25F0"/>
    <w:rsid w:val="005D25FC"/>
    <w:rsid w:val="005D2803"/>
    <w:rsid w:val="005D283D"/>
    <w:rsid w:val="005D2975"/>
    <w:rsid w:val="005D2B78"/>
    <w:rsid w:val="005D2BEC"/>
    <w:rsid w:val="005D2CC4"/>
    <w:rsid w:val="005D2E57"/>
    <w:rsid w:val="005D31F9"/>
    <w:rsid w:val="005D32D9"/>
    <w:rsid w:val="005D3423"/>
    <w:rsid w:val="005D3574"/>
    <w:rsid w:val="005D35C9"/>
    <w:rsid w:val="005D35E2"/>
    <w:rsid w:val="005D35F1"/>
    <w:rsid w:val="005D3867"/>
    <w:rsid w:val="005D38FE"/>
    <w:rsid w:val="005D3B0D"/>
    <w:rsid w:val="005D3CE4"/>
    <w:rsid w:val="005D4583"/>
    <w:rsid w:val="005D496D"/>
    <w:rsid w:val="005D4A23"/>
    <w:rsid w:val="005D4A62"/>
    <w:rsid w:val="005D4A66"/>
    <w:rsid w:val="005D4ACF"/>
    <w:rsid w:val="005D4BBB"/>
    <w:rsid w:val="005D4D58"/>
    <w:rsid w:val="005D4FE0"/>
    <w:rsid w:val="005D504B"/>
    <w:rsid w:val="005D506B"/>
    <w:rsid w:val="005D5175"/>
    <w:rsid w:val="005D53DE"/>
    <w:rsid w:val="005D5439"/>
    <w:rsid w:val="005D54FF"/>
    <w:rsid w:val="005D56AE"/>
    <w:rsid w:val="005D5802"/>
    <w:rsid w:val="005D59CD"/>
    <w:rsid w:val="005D5AAC"/>
    <w:rsid w:val="005D5BB3"/>
    <w:rsid w:val="005D5C8E"/>
    <w:rsid w:val="005D5DB9"/>
    <w:rsid w:val="005D5E06"/>
    <w:rsid w:val="005D5ED4"/>
    <w:rsid w:val="005D61DB"/>
    <w:rsid w:val="005D6217"/>
    <w:rsid w:val="005D6267"/>
    <w:rsid w:val="005D6456"/>
    <w:rsid w:val="005D646E"/>
    <w:rsid w:val="005D65E2"/>
    <w:rsid w:val="005D6968"/>
    <w:rsid w:val="005D6A36"/>
    <w:rsid w:val="005D6A42"/>
    <w:rsid w:val="005D6B84"/>
    <w:rsid w:val="005D6BA9"/>
    <w:rsid w:val="005D6F5E"/>
    <w:rsid w:val="005D6F65"/>
    <w:rsid w:val="005D706D"/>
    <w:rsid w:val="005D70A1"/>
    <w:rsid w:val="005D7206"/>
    <w:rsid w:val="005D73B3"/>
    <w:rsid w:val="005D742F"/>
    <w:rsid w:val="005D7463"/>
    <w:rsid w:val="005D7566"/>
    <w:rsid w:val="005D770D"/>
    <w:rsid w:val="005D779D"/>
    <w:rsid w:val="005D78B2"/>
    <w:rsid w:val="005D7945"/>
    <w:rsid w:val="005D79E0"/>
    <w:rsid w:val="005D7AD2"/>
    <w:rsid w:val="005D7C93"/>
    <w:rsid w:val="005D7D55"/>
    <w:rsid w:val="005D7DCA"/>
    <w:rsid w:val="005D7E30"/>
    <w:rsid w:val="005D7E83"/>
    <w:rsid w:val="005D7F9D"/>
    <w:rsid w:val="005E000B"/>
    <w:rsid w:val="005E0085"/>
    <w:rsid w:val="005E0623"/>
    <w:rsid w:val="005E0747"/>
    <w:rsid w:val="005E0887"/>
    <w:rsid w:val="005E0C64"/>
    <w:rsid w:val="005E0E19"/>
    <w:rsid w:val="005E0E5F"/>
    <w:rsid w:val="005E0EAA"/>
    <w:rsid w:val="005E1030"/>
    <w:rsid w:val="005E10BA"/>
    <w:rsid w:val="005E12B9"/>
    <w:rsid w:val="005E140B"/>
    <w:rsid w:val="005E15CA"/>
    <w:rsid w:val="005E15F8"/>
    <w:rsid w:val="005E168F"/>
    <w:rsid w:val="005E17DC"/>
    <w:rsid w:val="005E1817"/>
    <w:rsid w:val="005E182F"/>
    <w:rsid w:val="005E1927"/>
    <w:rsid w:val="005E1ACD"/>
    <w:rsid w:val="005E1B45"/>
    <w:rsid w:val="005E1D2F"/>
    <w:rsid w:val="005E1D89"/>
    <w:rsid w:val="005E1DF5"/>
    <w:rsid w:val="005E1FB1"/>
    <w:rsid w:val="005E2016"/>
    <w:rsid w:val="005E2018"/>
    <w:rsid w:val="005E20F2"/>
    <w:rsid w:val="005E2273"/>
    <w:rsid w:val="005E24AF"/>
    <w:rsid w:val="005E2668"/>
    <w:rsid w:val="005E2702"/>
    <w:rsid w:val="005E2937"/>
    <w:rsid w:val="005E2A49"/>
    <w:rsid w:val="005E2B41"/>
    <w:rsid w:val="005E2D0F"/>
    <w:rsid w:val="005E2D6D"/>
    <w:rsid w:val="005E2D6E"/>
    <w:rsid w:val="005E304C"/>
    <w:rsid w:val="005E3114"/>
    <w:rsid w:val="005E3163"/>
    <w:rsid w:val="005E3260"/>
    <w:rsid w:val="005E34FB"/>
    <w:rsid w:val="005E35D5"/>
    <w:rsid w:val="005E36F7"/>
    <w:rsid w:val="005E370B"/>
    <w:rsid w:val="005E3748"/>
    <w:rsid w:val="005E3782"/>
    <w:rsid w:val="005E3924"/>
    <w:rsid w:val="005E3C90"/>
    <w:rsid w:val="005E3CCE"/>
    <w:rsid w:val="005E3DB3"/>
    <w:rsid w:val="005E3EE1"/>
    <w:rsid w:val="005E42DA"/>
    <w:rsid w:val="005E4521"/>
    <w:rsid w:val="005E4680"/>
    <w:rsid w:val="005E479C"/>
    <w:rsid w:val="005E4835"/>
    <w:rsid w:val="005E492C"/>
    <w:rsid w:val="005E49D8"/>
    <w:rsid w:val="005E4A17"/>
    <w:rsid w:val="005E4B49"/>
    <w:rsid w:val="005E4D77"/>
    <w:rsid w:val="005E4DC5"/>
    <w:rsid w:val="005E5453"/>
    <w:rsid w:val="005E5512"/>
    <w:rsid w:val="005E56BD"/>
    <w:rsid w:val="005E56F0"/>
    <w:rsid w:val="005E572B"/>
    <w:rsid w:val="005E57CB"/>
    <w:rsid w:val="005E5802"/>
    <w:rsid w:val="005E580B"/>
    <w:rsid w:val="005E5945"/>
    <w:rsid w:val="005E5973"/>
    <w:rsid w:val="005E5A84"/>
    <w:rsid w:val="005E5A8B"/>
    <w:rsid w:val="005E5B89"/>
    <w:rsid w:val="005E5C51"/>
    <w:rsid w:val="005E5C70"/>
    <w:rsid w:val="005E5D58"/>
    <w:rsid w:val="005E5E0C"/>
    <w:rsid w:val="005E5E55"/>
    <w:rsid w:val="005E5EB3"/>
    <w:rsid w:val="005E6079"/>
    <w:rsid w:val="005E60B0"/>
    <w:rsid w:val="005E6137"/>
    <w:rsid w:val="005E6159"/>
    <w:rsid w:val="005E62C5"/>
    <w:rsid w:val="005E630B"/>
    <w:rsid w:val="005E651D"/>
    <w:rsid w:val="005E6552"/>
    <w:rsid w:val="005E6579"/>
    <w:rsid w:val="005E65BA"/>
    <w:rsid w:val="005E6767"/>
    <w:rsid w:val="005E68D5"/>
    <w:rsid w:val="005E6AAF"/>
    <w:rsid w:val="005E7194"/>
    <w:rsid w:val="005E728B"/>
    <w:rsid w:val="005E729D"/>
    <w:rsid w:val="005E7313"/>
    <w:rsid w:val="005E73CA"/>
    <w:rsid w:val="005E73D3"/>
    <w:rsid w:val="005E7494"/>
    <w:rsid w:val="005E7501"/>
    <w:rsid w:val="005E75DA"/>
    <w:rsid w:val="005E765C"/>
    <w:rsid w:val="005E79FE"/>
    <w:rsid w:val="005E7A0A"/>
    <w:rsid w:val="005E7ABD"/>
    <w:rsid w:val="005E7B68"/>
    <w:rsid w:val="005E7C21"/>
    <w:rsid w:val="005E7CA2"/>
    <w:rsid w:val="005E7D28"/>
    <w:rsid w:val="005E7DBB"/>
    <w:rsid w:val="005E7E37"/>
    <w:rsid w:val="005E7ED1"/>
    <w:rsid w:val="005F05D8"/>
    <w:rsid w:val="005F064C"/>
    <w:rsid w:val="005F0684"/>
    <w:rsid w:val="005F06D9"/>
    <w:rsid w:val="005F087F"/>
    <w:rsid w:val="005F08CE"/>
    <w:rsid w:val="005F0907"/>
    <w:rsid w:val="005F0AD8"/>
    <w:rsid w:val="005F0C0C"/>
    <w:rsid w:val="005F0C65"/>
    <w:rsid w:val="005F0F68"/>
    <w:rsid w:val="005F0F76"/>
    <w:rsid w:val="005F1078"/>
    <w:rsid w:val="005F108B"/>
    <w:rsid w:val="005F1101"/>
    <w:rsid w:val="005F11A0"/>
    <w:rsid w:val="005F1272"/>
    <w:rsid w:val="005F12A4"/>
    <w:rsid w:val="005F13D1"/>
    <w:rsid w:val="005F1494"/>
    <w:rsid w:val="005F15A5"/>
    <w:rsid w:val="005F1763"/>
    <w:rsid w:val="005F19A6"/>
    <w:rsid w:val="005F1C6C"/>
    <w:rsid w:val="005F1EB6"/>
    <w:rsid w:val="005F1FCE"/>
    <w:rsid w:val="005F258C"/>
    <w:rsid w:val="005F2608"/>
    <w:rsid w:val="005F2663"/>
    <w:rsid w:val="005F270C"/>
    <w:rsid w:val="005F281A"/>
    <w:rsid w:val="005F2D2A"/>
    <w:rsid w:val="005F2E93"/>
    <w:rsid w:val="005F2F12"/>
    <w:rsid w:val="005F2F67"/>
    <w:rsid w:val="005F2F97"/>
    <w:rsid w:val="005F2FAE"/>
    <w:rsid w:val="005F3009"/>
    <w:rsid w:val="005F3120"/>
    <w:rsid w:val="005F3160"/>
    <w:rsid w:val="005F32AF"/>
    <w:rsid w:val="005F33E6"/>
    <w:rsid w:val="005F36C8"/>
    <w:rsid w:val="005F39D1"/>
    <w:rsid w:val="005F3A91"/>
    <w:rsid w:val="005F3B52"/>
    <w:rsid w:val="005F3B78"/>
    <w:rsid w:val="005F3D01"/>
    <w:rsid w:val="005F3D67"/>
    <w:rsid w:val="005F3F23"/>
    <w:rsid w:val="005F402A"/>
    <w:rsid w:val="005F412C"/>
    <w:rsid w:val="005F413D"/>
    <w:rsid w:val="005F414D"/>
    <w:rsid w:val="005F4176"/>
    <w:rsid w:val="005F41E2"/>
    <w:rsid w:val="005F422C"/>
    <w:rsid w:val="005F4341"/>
    <w:rsid w:val="005F4399"/>
    <w:rsid w:val="005F43ED"/>
    <w:rsid w:val="005F4495"/>
    <w:rsid w:val="005F44A1"/>
    <w:rsid w:val="005F44C4"/>
    <w:rsid w:val="005F4513"/>
    <w:rsid w:val="005F48BF"/>
    <w:rsid w:val="005F4926"/>
    <w:rsid w:val="005F494D"/>
    <w:rsid w:val="005F4A8F"/>
    <w:rsid w:val="005F4B2D"/>
    <w:rsid w:val="005F4BA0"/>
    <w:rsid w:val="005F4CC8"/>
    <w:rsid w:val="005F4D12"/>
    <w:rsid w:val="005F4D15"/>
    <w:rsid w:val="005F506B"/>
    <w:rsid w:val="005F5085"/>
    <w:rsid w:val="005F592D"/>
    <w:rsid w:val="005F5A04"/>
    <w:rsid w:val="005F5A66"/>
    <w:rsid w:val="005F5B6A"/>
    <w:rsid w:val="005F5DCF"/>
    <w:rsid w:val="005F5ECF"/>
    <w:rsid w:val="005F5F50"/>
    <w:rsid w:val="005F606A"/>
    <w:rsid w:val="005F622F"/>
    <w:rsid w:val="005F62CE"/>
    <w:rsid w:val="005F6333"/>
    <w:rsid w:val="005F64E5"/>
    <w:rsid w:val="005F65CB"/>
    <w:rsid w:val="005F66F4"/>
    <w:rsid w:val="005F6717"/>
    <w:rsid w:val="005F699B"/>
    <w:rsid w:val="005F6A68"/>
    <w:rsid w:val="005F6AA9"/>
    <w:rsid w:val="005F6C67"/>
    <w:rsid w:val="005F6D56"/>
    <w:rsid w:val="005F6F77"/>
    <w:rsid w:val="005F7097"/>
    <w:rsid w:val="005F72C1"/>
    <w:rsid w:val="005F72D2"/>
    <w:rsid w:val="005F72F7"/>
    <w:rsid w:val="005F75A5"/>
    <w:rsid w:val="005F75CD"/>
    <w:rsid w:val="005F75E5"/>
    <w:rsid w:val="005F7620"/>
    <w:rsid w:val="005F7627"/>
    <w:rsid w:val="005F7A90"/>
    <w:rsid w:val="005F7C38"/>
    <w:rsid w:val="005F7C41"/>
    <w:rsid w:val="005F7D48"/>
    <w:rsid w:val="005F7EB8"/>
    <w:rsid w:val="005F7F3B"/>
    <w:rsid w:val="005F7FC1"/>
    <w:rsid w:val="00600038"/>
    <w:rsid w:val="00600344"/>
    <w:rsid w:val="00600549"/>
    <w:rsid w:val="00600700"/>
    <w:rsid w:val="00600851"/>
    <w:rsid w:val="00600D55"/>
    <w:rsid w:val="00600D5F"/>
    <w:rsid w:val="00600E05"/>
    <w:rsid w:val="006011F6"/>
    <w:rsid w:val="00601387"/>
    <w:rsid w:val="00601670"/>
    <w:rsid w:val="00601791"/>
    <w:rsid w:val="006017CB"/>
    <w:rsid w:val="006018BC"/>
    <w:rsid w:val="00601A5A"/>
    <w:rsid w:val="00601A66"/>
    <w:rsid w:val="00601B38"/>
    <w:rsid w:val="00601D0B"/>
    <w:rsid w:val="00601D13"/>
    <w:rsid w:val="00601F2B"/>
    <w:rsid w:val="00602087"/>
    <w:rsid w:val="00602094"/>
    <w:rsid w:val="006022DA"/>
    <w:rsid w:val="006023C5"/>
    <w:rsid w:val="006023D3"/>
    <w:rsid w:val="00602485"/>
    <w:rsid w:val="006029CF"/>
    <w:rsid w:val="00602BF4"/>
    <w:rsid w:val="00602C76"/>
    <w:rsid w:val="00602CEE"/>
    <w:rsid w:val="00602D3C"/>
    <w:rsid w:val="00602E3C"/>
    <w:rsid w:val="00602E4B"/>
    <w:rsid w:val="00602EDB"/>
    <w:rsid w:val="00602FB9"/>
    <w:rsid w:val="006030FA"/>
    <w:rsid w:val="0060314C"/>
    <w:rsid w:val="006033D8"/>
    <w:rsid w:val="006034EC"/>
    <w:rsid w:val="00603612"/>
    <w:rsid w:val="00603818"/>
    <w:rsid w:val="00603857"/>
    <w:rsid w:val="00603931"/>
    <w:rsid w:val="0060394E"/>
    <w:rsid w:val="00603BB6"/>
    <w:rsid w:val="00603E3D"/>
    <w:rsid w:val="00603F10"/>
    <w:rsid w:val="00603F96"/>
    <w:rsid w:val="006040D9"/>
    <w:rsid w:val="00604171"/>
    <w:rsid w:val="006041D3"/>
    <w:rsid w:val="00604206"/>
    <w:rsid w:val="006042C1"/>
    <w:rsid w:val="0060458A"/>
    <w:rsid w:val="006047FC"/>
    <w:rsid w:val="006048D2"/>
    <w:rsid w:val="00604994"/>
    <w:rsid w:val="006049D7"/>
    <w:rsid w:val="00604B8C"/>
    <w:rsid w:val="00604D72"/>
    <w:rsid w:val="00604E1C"/>
    <w:rsid w:val="00604FCA"/>
    <w:rsid w:val="00605501"/>
    <w:rsid w:val="0060551D"/>
    <w:rsid w:val="006055A4"/>
    <w:rsid w:val="00605651"/>
    <w:rsid w:val="00605727"/>
    <w:rsid w:val="0060574E"/>
    <w:rsid w:val="00605888"/>
    <w:rsid w:val="006059E8"/>
    <w:rsid w:val="00605A29"/>
    <w:rsid w:val="00605A3F"/>
    <w:rsid w:val="00605A42"/>
    <w:rsid w:val="00605E1D"/>
    <w:rsid w:val="00606074"/>
    <w:rsid w:val="006060CB"/>
    <w:rsid w:val="00606120"/>
    <w:rsid w:val="00606476"/>
    <w:rsid w:val="00606490"/>
    <w:rsid w:val="006065A2"/>
    <w:rsid w:val="0060662B"/>
    <w:rsid w:val="0060663B"/>
    <w:rsid w:val="00606677"/>
    <w:rsid w:val="0060693F"/>
    <w:rsid w:val="00606A20"/>
    <w:rsid w:val="00606B24"/>
    <w:rsid w:val="00606B9D"/>
    <w:rsid w:val="00606B9E"/>
    <w:rsid w:val="00606CF3"/>
    <w:rsid w:val="00606DB9"/>
    <w:rsid w:val="00606E3E"/>
    <w:rsid w:val="00606EA3"/>
    <w:rsid w:val="00606FF4"/>
    <w:rsid w:val="006071F4"/>
    <w:rsid w:val="00607326"/>
    <w:rsid w:val="006073B7"/>
    <w:rsid w:val="00607620"/>
    <w:rsid w:val="0060773B"/>
    <w:rsid w:val="00607781"/>
    <w:rsid w:val="006077EE"/>
    <w:rsid w:val="00607BF9"/>
    <w:rsid w:val="00607D98"/>
    <w:rsid w:val="00607DAC"/>
    <w:rsid w:val="00607EC7"/>
    <w:rsid w:val="00607F4B"/>
    <w:rsid w:val="00607F55"/>
    <w:rsid w:val="00607F6A"/>
    <w:rsid w:val="00607FBD"/>
    <w:rsid w:val="00610002"/>
    <w:rsid w:val="006101A3"/>
    <w:rsid w:val="00610458"/>
    <w:rsid w:val="00610590"/>
    <w:rsid w:val="00610678"/>
    <w:rsid w:val="00610720"/>
    <w:rsid w:val="00610721"/>
    <w:rsid w:val="006107C4"/>
    <w:rsid w:val="006109AB"/>
    <w:rsid w:val="00610B2A"/>
    <w:rsid w:val="00610B4F"/>
    <w:rsid w:val="00610C1D"/>
    <w:rsid w:val="00610C72"/>
    <w:rsid w:val="00610C97"/>
    <w:rsid w:val="00610CF8"/>
    <w:rsid w:val="00610DED"/>
    <w:rsid w:val="00611000"/>
    <w:rsid w:val="00611038"/>
    <w:rsid w:val="0061106F"/>
    <w:rsid w:val="006110C5"/>
    <w:rsid w:val="0061113E"/>
    <w:rsid w:val="00611272"/>
    <w:rsid w:val="006113EC"/>
    <w:rsid w:val="006114E1"/>
    <w:rsid w:val="0061165C"/>
    <w:rsid w:val="006116F3"/>
    <w:rsid w:val="006118B3"/>
    <w:rsid w:val="006119C0"/>
    <w:rsid w:val="00611D00"/>
    <w:rsid w:val="00611DE8"/>
    <w:rsid w:val="006120CC"/>
    <w:rsid w:val="006120CD"/>
    <w:rsid w:val="006120FF"/>
    <w:rsid w:val="00612205"/>
    <w:rsid w:val="00612220"/>
    <w:rsid w:val="00612241"/>
    <w:rsid w:val="00612311"/>
    <w:rsid w:val="006124D8"/>
    <w:rsid w:val="0061251F"/>
    <w:rsid w:val="0061259B"/>
    <w:rsid w:val="00612866"/>
    <w:rsid w:val="00612957"/>
    <w:rsid w:val="006129FF"/>
    <w:rsid w:val="00612C76"/>
    <w:rsid w:val="00613073"/>
    <w:rsid w:val="006131A2"/>
    <w:rsid w:val="00613207"/>
    <w:rsid w:val="0061322B"/>
    <w:rsid w:val="00613633"/>
    <w:rsid w:val="00613882"/>
    <w:rsid w:val="006139B5"/>
    <w:rsid w:val="00613AE2"/>
    <w:rsid w:val="00613B4F"/>
    <w:rsid w:val="00613BFF"/>
    <w:rsid w:val="00613C13"/>
    <w:rsid w:val="00613C55"/>
    <w:rsid w:val="00613C68"/>
    <w:rsid w:val="00614026"/>
    <w:rsid w:val="006140CB"/>
    <w:rsid w:val="00614325"/>
    <w:rsid w:val="006143A5"/>
    <w:rsid w:val="00614626"/>
    <w:rsid w:val="0061485E"/>
    <w:rsid w:val="00614B14"/>
    <w:rsid w:val="00614CDF"/>
    <w:rsid w:val="00614D40"/>
    <w:rsid w:val="00614D47"/>
    <w:rsid w:val="00614E98"/>
    <w:rsid w:val="00614F81"/>
    <w:rsid w:val="00614FC0"/>
    <w:rsid w:val="0061501E"/>
    <w:rsid w:val="0061509B"/>
    <w:rsid w:val="00615714"/>
    <w:rsid w:val="006157B2"/>
    <w:rsid w:val="006158E8"/>
    <w:rsid w:val="0061598A"/>
    <w:rsid w:val="0061598F"/>
    <w:rsid w:val="00615D9C"/>
    <w:rsid w:val="006160AC"/>
    <w:rsid w:val="0061630A"/>
    <w:rsid w:val="006163A8"/>
    <w:rsid w:val="006163B1"/>
    <w:rsid w:val="0061659B"/>
    <w:rsid w:val="006168EF"/>
    <w:rsid w:val="00616A34"/>
    <w:rsid w:val="00616A94"/>
    <w:rsid w:val="00616AA1"/>
    <w:rsid w:val="00616D2F"/>
    <w:rsid w:val="00616E8A"/>
    <w:rsid w:val="006170A6"/>
    <w:rsid w:val="0061712B"/>
    <w:rsid w:val="006171A9"/>
    <w:rsid w:val="00617267"/>
    <w:rsid w:val="0061747C"/>
    <w:rsid w:val="00617585"/>
    <w:rsid w:val="006175A9"/>
    <w:rsid w:val="0061787D"/>
    <w:rsid w:val="0061790B"/>
    <w:rsid w:val="0061792A"/>
    <w:rsid w:val="006179C6"/>
    <w:rsid w:val="00617BDC"/>
    <w:rsid w:val="00617C01"/>
    <w:rsid w:val="00617D6B"/>
    <w:rsid w:val="00617EC4"/>
    <w:rsid w:val="00617EFA"/>
    <w:rsid w:val="006204D9"/>
    <w:rsid w:val="0062072D"/>
    <w:rsid w:val="0062076B"/>
    <w:rsid w:val="00620897"/>
    <w:rsid w:val="00620A27"/>
    <w:rsid w:val="00620E90"/>
    <w:rsid w:val="00620EEF"/>
    <w:rsid w:val="00620F97"/>
    <w:rsid w:val="0062100B"/>
    <w:rsid w:val="006210AA"/>
    <w:rsid w:val="006214CB"/>
    <w:rsid w:val="0062166A"/>
    <w:rsid w:val="006217B1"/>
    <w:rsid w:val="006218DD"/>
    <w:rsid w:val="00621941"/>
    <w:rsid w:val="006219BF"/>
    <w:rsid w:val="00621A4E"/>
    <w:rsid w:val="00621A91"/>
    <w:rsid w:val="00621AD3"/>
    <w:rsid w:val="00621FEF"/>
    <w:rsid w:val="00622194"/>
    <w:rsid w:val="0062227E"/>
    <w:rsid w:val="0062243B"/>
    <w:rsid w:val="00622479"/>
    <w:rsid w:val="006224B5"/>
    <w:rsid w:val="0062254E"/>
    <w:rsid w:val="006228EF"/>
    <w:rsid w:val="0062299F"/>
    <w:rsid w:val="00622C7E"/>
    <w:rsid w:val="00622CE7"/>
    <w:rsid w:val="00622D7F"/>
    <w:rsid w:val="00622E28"/>
    <w:rsid w:val="00622FB6"/>
    <w:rsid w:val="00623066"/>
    <w:rsid w:val="00623092"/>
    <w:rsid w:val="00623170"/>
    <w:rsid w:val="00623325"/>
    <w:rsid w:val="0062335C"/>
    <w:rsid w:val="00623602"/>
    <w:rsid w:val="0062362A"/>
    <w:rsid w:val="00623636"/>
    <w:rsid w:val="0062375C"/>
    <w:rsid w:val="006237A4"/>
    <w:rsid w:val="00623832"/>
    <w:rsid w:val="0062395C"/>
    <w:rsid w:val="00623AF3"/>
    <w:rsid w:val="00623C48"/>
    <w:rsid w:val="00623D6C"/>
    <w:rsid w:val="00623F2C"/>
    <w:rsid w:val="00623FEE"/>
    <w:rsid w:val="006240A6"/>
    <w:rsid w:val="006240FB"/>
    <w:rsid w:val="00624262"/>
    <w:rsid w:val="00624355"/>
    <w:rsid w:val="0062459F"/>
    <w:rsid w:val="0062470F"/>
    <w:rsid w:val="00624788"/>
    <w:rsid w:val="00624A31"/>
    <w:rsid w:val="00624AB2"/>
    <w:rsid w:val="00624D2E"/>
    <w:rsid w:val="00624F42"/>
    <w:rsid w:val="00624FD6"/>
    <w:rsid w:val="0062500A"/>
    <w:rsid w:val="006250E0"/>
    <w:rsid w:val="006251EA"/>
    <w:rsid w:val="006254C5"/>
    <w:rsid w:val="00625545"/>
    <w:rsid w:val="0062555A"/>
    <w:rsid w:val="006255D5"/>
    <w:rsid w:val="00625620"/>
    <w:rsid w:val="006257D4"/>
    <w:rsid w:val="006257DA"/>
    <w:rsid w:val="0062581A"/>
    <w:rsid w:val="0062591F"/>
    <w:rsid w:val="00625AE7"/>
    <w:rsid w:val="00625C4C"/>
    <w:rsid w:val="00625C97"/>
    <w:rsid w:val="00625E56"/>
    <w:rsid w:val="00625ED1"/>
    <w:rsid w:val="00625F78"/>
    <w:rsid w:val="00626096"/>
    <w:rsid w:val="006263F5"/>
    <w:rsid w:val="006263FB"/>
    <w:rsid w:val="00626403"/>
    <w:rsid w:val="00626486"/>
    <w:rsid w:val="006264C8"/>
    <w:rsid w:val="0062658E"/>
    <w:rsid w:val="006265EE"/>
    <w:rsid w:val="00626817"/>
    <w:rsid w:val="0062696E"/>
    <w:rsid w:val="00626AC0"/>
    <w:rsid w:val="00626B25"/>
    <w:rsid w:val="00626E8E"/>
    <w:rsid w:val="006272D5"/>
    <w:rsid w:val="0062730F"/>
    <w:rsid w:val="0062736C"/>
    <w:rsid w:val="00627395"/>
    <w:rsid w:val="0062745D"/>
    <w:rsid w:val="006274CB"/>
    <w:rsid w:val="006274F2"/>
    <w:rsid w:val="00627839"/>
    <w:rsid w:val="00627A07"/>
    <w:rsid w:val="00627AC4"/>
    <w:rsid w:val="00627AC6"/>
    <w:rsid w:val="00627B23"/>
    <w:rsid w:val="00627BF1"/>
    <w:rsid w:val="00630167"/>
    <w:rsid w:val="006302D3"/>
    <w:rsid w:val="0063031A"/>
    <w:rsid w:val="006303AC"/>
    <w:rsid w:val="00630523"/>
    <w:rsid w:val="0063061A"/>
    <w:rsid w:val="00630631"/>
    <w:rsid w:val="006306E6"/>
    <w:rsid w:val="00630854"/>
    <w:rsid w:val="006308BE"/>
    <w:rsid w:val="00630A4F"/>
    <w:rsid w:val="00630FF9"/>
    <w:rsid w:val="0063108E"/>
    <w:rsid w:val="006315A6"/>
    <w:rsid w:val="006316DA"/>
    <w:rsid w:val="0063176A"/>
    <w:rsid w:val="00631814"/>
    <w:rsid w:val="0063184F"/>
    <w:rsid w:val="006318A0"/>
    <w:rsid w:val="00631972"/>
    <w:rsid w:val="00631EDA"/>
    <w:rsid w:val="00631EE6"/>
    <w:rsid w:val="0063203E"/>
    <w:rsid w:val="0063207E"/>
    <w:rsid w:val="0063226E"/>
    <w:rsid w:val="00632304"/>
    <w:rsid w:val="006324D5"/>
    <w:rsid w:val="006325D7"/>
    <w:rsid w:val="00632797"/>
    <w:rsid w:val="006328BA"/>
    <w:rsid w:val="006329AA"/>
    <w:rsid w:val="006329BB"/>
    <w:rsid w:val="00632A26"/>
    <w:rsid w:val="00632A5D"/>
    <w:rsid w:val="00632B40"/>
    <w:rsid w:val="00632CCC"/>
    <w:rsid w:val="00632CFE"/>
    <w:rsid w:val="00632E42"/>
    <w:rsid w:val="00632FBA"/>
    <w:rsid w:val="00633302"/>
    <w:rsid w:val="0063337E"/>
    <w:rsid w:val="00633524"/>
    <w:rsid w:val="006336DD"/>
    <w:rsid w:val="00633A30"/>
    <w:rsid w:val="00633ADC"/>
    <w:rsid w:val="00633BA0"/>
    <w:rsid w:val="00633BA8"/>
    <w:rsid w:val="00633C94"/>
    <w:rsid w:val="00633D3C"/>
    <w:rsid w:val="00633DD1"/>
    <w:rsid w:val="00633E30"/>
    <w:rsid w:val="00633F09"/>
    <w:rsid w:val="00633FFA"/>
    <w:rsid w:val="006344FF"/>
    <w:rsid w:val="006348F3"/>
    <w:rsid w:val="00634BB9"/>
    <w:rsid w:val="00634BE1"/>
    <w:rsid w:val="00634D19"/>
    <w:rsid w:val="00634DBE"/>
    <w:rsid w:val="00634EAC"/>
    <w:rsid w:val="00634F07"/>
    <w:rsid w:val="006352C0"/>
    <w:rsid w:val="0063536B"/>
    <w:rsid w:val="0063545A"/>
    <w:rsid w:val="006354D2"/>
    <w:rsid w:val="006355FE"/>
    <w:rsid w:val="0063566E"/>
    <w:rsid w:val="0063594F"/>
    <w:rsid w:val="00635D6B"/>
    <w:rsid w:val="00635D74"/>
    <w:rsid w:val="00635DFC"/>
    <w:rsid w:val="00635E27"/>
    <w:rsid w:val="00635EA9"/>
    <w:rsid w:val="0063604E"/>
    <w:rsid w:val="00636100"/>
    <w:rsid w:val="00636195"/>
    <w:rsid w:val="00636312"/>
    <w:rsid w:val="00636467"/>
    <w:rsid w:val="006364E3"/>
    <w:rsid w:val="006365EC"/>
    <w:rsid w:val="0063689B"/>
    <w:rsid w:val="006369F3"/>
    <w:rsid w:val="00636A9B"/>
    <w:rsid w:val="00636ACD"/>
    <w:rsid w:val="00636ACE"/>
    <w:rsid w:val="00636B93"/>
    <w:rsid w:val="00636C71"/>
    <w:rsid w:val="00636C92"/>
    <w:rsid w:val="00636E50"/>
    <w:rsid w:val="006370EE"/>
    <w:rsid w:val="006371A1"/>
    <w:rsid w:val="00637254"/>
    <w:rsid w:val="00637472"/>
    <w:rsid w:val="006376EA"/>
    <w:rsid w:val="006377D6"/>
    <w:rsid w:val="00637B2C"/>
    <w:rsid w:val="00637CCF"/>
    <w:rsid w:val="00637DEF"/>
    <w:rsid w:val="00637E7C"/>
    <w:rsid w:val="00640014"/>
    <w:rsid w:val="006401B3"/>
    <w:rsid w:val="006401D0"/>
    <w:rsid w:val="00640204"/>
    <w:rsid w:val="006402F6"/>
    <w:rsid w:val="006402FF"/>
    <w:rsid w:val="0064033B"/>
    <w:rsid w:val="00640652"/>
    <w:rsid w:val="0064068F"/>
    <w:rsid w:val="006406A4"/>
    <w:rsid w:val="0064083A"/>
    <w:rsid w:val="006408E5"/>
    <w:rsid w:val="006408EC"/>
    <w:rsid w:val="00640995"/>
    <w:rsid w:val="00640C2A"/>
    <w:rsid w:val="00640CAE"/>
    <w:rsid w:val="00640E34"/>
    <w:rsid w:val="00640F5F"/>
    <w:rsid w:val="006410B3"/>
    <w:rsid w:val="006413BC"/>
    <w:rsid w:val="006415C0"/>
    <w:rsid w:val="00641637"/>
    <w:rsid w:val="006418AF"/>
    <w:rsid w:val="0064195A"/>
    <w:rsid w:val="00641A03"/>
    <w:rsid w:val="00641C44"/>
    <w:rsid w:val="00641CE1"/>
    <w:rsid w:val="00641D48"/>
    <w:rsid w:val="00641E5B"/>
    <w:rsid w:val="006421ED"/>
    <w:rsid w:val="006423E7"/>
    <w:rsid w:val="00642415"/>
    <w:rsid w:val="006424A9"/>
    <w:rsid w:val="006424E6"/>
    <w:rsid w:val="0064253A"/>
    <w:rsid w:val="006425A8"/>
    <w:rsid w:val="0064264F"/>
    <w:rsid w:val="00642923"/>
    <w:rsid w:val="006429BB"/>
    <w:rsid w:val="00642ACE"/>
    <w:rsid w:val="00642C00"/>
    <w:rsid w:val="00642D0D"/>
    <w:rsid w:val="00642D68"/>
    <w:rsid w:val="00642E47"/>
    <w:rsid w:val="00642F73"/>
    <w:rsid w:val="006430F6"/>
    <w:rsid w:val="00643122"/>
    <w:rsid w:val="00643254"/>
    <w:rsid w:val="0064328C"/>
    <w:rsid w:val="0064334B"/>
    <w:rsid w:val="00643396"/>
    <w:rsid w:val="006434A4"/>
    <w:rsid w:val="0064353D"/>
    <w:rsid w:val="006439B9"/>
    <w:rsid w:val="00643C41"/>
    <w:rsid w:val="00643C54"/>
    <w:rsid w:val="00643EBD"/>
    <w:rsid w:val="00643F22"/>
    <w:rsid w:val="006440E8"/>
    <w:rsid w:val="00644109"/>
    <w:rsid w:val="006441AA"/>
    <w:rsid w:val="0064431C"/>
    <w:rsid w:val="006443AF"/>
    <w:rsid w:val="00644AAB"/>
    <w:rsid w:val="00644B57"/>
    <w:rsid w:val="00644B7C"/>
    <w:rsid w:val="00644CA7"/>
    <w:rsid w:val="00644EB6"/>
    <w:rsid w:val="0064501A"/>
    <w:rsid w:val="00645196"/>
    <w:rsid w:val="006453D1"/>
    <w:rsid w:val="0064546B"/>
    <w:rsid w:val="0064549C"/>
    <w:rsid w:val="00645611"/>
    <w:rsid w:val="006456FE"/>
    <w:rsid w:val="00645927"/>
    <w:rsid w:val="00645A13"/>
    <w:rsid w:val="00645B22"/>
    <w:rsid w:val="00645B38"/>
    <w:rsid w:val="00645FC2"/>
    <w:rsid w:val="00645FE7"/>
    <w:rsid w:val="00646308"/>
    <w:rsid w:val="00646337"/>
    <w:rsid w:val="0064635A"/>
    <w:rsid w:val="0064686C"/>
    <w:rsid w:val="00646AF1"/>
    <w:rsid w:val="00646BD0"/>
    <w:rsid w:val="00646E8E"/>
    <w:rsid w:val="00646ECE"/>
    <w:rsid w:val="006473D7"/>
    <w:rsid w:val="006473EC"/>
    <w:rsid w:val="00647414"/>
    <w:rsid w:val="0064751B"/>
    <w:rsid w:val="00647602"/>
    <w:rsid w:val="006476C9"/>
    <w:rsid w:val="006476D9"/>
    <w:rsid w:val="00647750"/>
    <w:rsid w:val="00647844"/>
    <w:rsid w:val="006478E9"/>
    <w:rsid w:val="00647AE9"/>
    <w:rsid w:val="00647BFB"/>
    <w:rsid w:val="00647E24"/>
    <w:rsid w:val="00647EA8"/>
    <w:rsid w:val="006500F8"/>
    <w:rsid w:val="0065029E"/>
    <w:rsid w:val="0065031B"/>
    <w:rsid w:val="00650353"/>
    <w:rsid w:val="00650386"/>
    <w:rsid w:val="00650684"/>
    <w:rsid w:val="0065098B"/>
    <w:rsid w:val="006509A8"/>
    <w:rsid w:val="00650A15"/>
    <w:rsid w:val="00650ACE"/>
    <w:rsid w:val="00650B68"/>
    <w:rsid w:val="00650C5D"/>
    <w:rsid w:val="00650D89"/>
    <w:rsid w:val="00650D96"/>
    <w:rsid w:val="00650E34"/>
    <w:rsid w:val="00651244"/>
    <w:rsid w:val="00651659"/>
    <w:rsid w:val="00651665"/>
    <w:rsid w:val="006517F9"/>
    <w:rsid w:val="006519C9"/>
    <w:rsid w:val="00651B4A"/>
    <w:rsid w:val="00651D9F"/>
    <w:rsid w:val="00651E49"/>
    <w:rsid w:val="0065209E"/>
    <w:rsid w:val="00652133"/>
    <w:rsid w:val="006523B1"/>
    <w:rsid w:val="00652407"/>
    <w:rsid w:val="00652411"/>
    <w:rsid w:val="00652434"/>
    <w:rsid w:val="00652781"/>
    <w:rsid w:val="0065286E"/>
    <w:rsid w:val="00652891"/>
    <w:rsid w:val="00652920"/>
    <w:rsid w:val="006529F7"/>
    <w:rsid w:val="00652CA3"/>
    <w:rsid w:val="00652CEB"/>
    <w:rsid w:val="00652DB8"/>
    <w:rsid w:val="00653091"/>
    <w:rsid w:val="0065314C"/>
    <w:rsid w:val="0065348B"/>
    <w:rsid w:val="00653601"/>
    <w:rsid w:val="00653625"/>
    <w:rsid w:val="00653632"/>
    <w:rsid w:val="00653690"/>
    <w:rsid w:val="006536EF"/>
    <w:rsid w:val="00653810"/>
    <w:rsid w:val="00653814"/>
    <w:rsid w:val="00653A6D"/>
    <w:rsid w:val="00653C13"/>
    <w:rsid w:val="00653D08"/>
    <w:rsid w:val="00653E67"/>
    <w:rsid w:val="00653EC4"/>
    <w:rsid w:val="00654043"/>
    <w:rsid w:val="00654113"/>
    <w:rsid w:val="0065444E"/>
    <w:rsid w:val="0065461E"/>
    <w:rsid w:val="0065464C"/>
    <w:rsid w:val="00654871"/>
    <w:rsid w:val="00654874"/>
    <w:rsid w:val="006548A2"/>
    <w:rsid w:val="006548F9"/>
    <w:rsid w:val="00654A67"/>
    <w:rsid w:val="00654AD8"/>
    <w:rsid w:val="00654B12"/>
    <w:rsid w:val="00654D32"/>
    <w:rsid w:val="00654EBF"/>
    <w:rsid w:val="00654ECA"/>
    <w:rsid w:val="00654EE9"/>
    <w:rsid w:val="006550DB"/>
    <w:rsid w:val="006551F1"/>
    <w:rsid w:val="00655229"/>
    <w:rsid w:val="00655285"/>
    <w:rsid w:val="0065528D"/>
    <w:rsid w:val="006552C7"/>
    <w:rsid w:val="006553EA"/>
    <w:rsid w:val="00655722"/>
    <w:rsid w:val="006559ED"/>
    <w:rsid w:val="00655BC9"/>
    <w:rsid w:val="00655DBD"/>
    <w:rsid w:val="00656170"/>
    <w:rsid w:val="0065622F"/>
    <w:rsid w:val="006563B2"/>
    <w:rsid w:val="006563D8"/>
    <w:rsid w:val="006565A9"/>
    <w:rsid w:val="00656767"/>
    <w:rsid w:val="0065688E"/>
    <w:rsid w:val="00656899"/>
    <w:rsid w:val="006568DC"/>
    <w:rsid w:val="00656914"/>
    <w:rsid w:val="00656A64"/>
    <w:rsid w:val="00656B18"/>
    <w:rsid w:val="00656BED"/>
    <w:rsid w:val="00656DC2"/>
    <w:rsid w:val="00656E18"/>
    <w:rsid w:val="00656E26"/>
    <w:rsid w:val="00656E45"/>
    <w:rsid w:val="00656F42"/>
    <w:rsid w:val="00657190"/>
    <w:rsid w:val="0065728A"/>
    <w:rsid w:val="00657292"/>
    <w:rsid w:val="00657395"/>
    <w:rsid w:val="0065756B"/>
    <w:rsid w:val="00657780"/>
    <w:rsid w:val="0065780F"/>
    <w:rsid w:val="006578EC"/>
    <w:rsid w:val="006579F3"/>
    <w:rsid w:val="006579F5"/>
    <w:rsid w:val="00657A13"/>
    <w:rsid w:val="00657AE3"/>
    <w:rsid w:val="00657E5B"/>
    <w:rsid w:val="00660029"/>
    <w:rsid w:val="0066006D"/>
    <w:rsid w:val="006600E1"/>
    <w:rsid w:val="0066010F"/>
    <w:rsid w:val="00660259"/>
    <w:rsid w:val="006602DB"/>
    <w:rsid w:val="00660324"/>
    <w:rsid w:val="00660476"/>
    <w:rsid w:val="006604B2"/>
    <w:rsid w:val="006607C3"/>
    <w:rsid w:val="00660A81"/>
    <w:rsid w:val="00660AC3"/>
    <w:rsid w:val="00660BF1"/>
    <w:rsid w:val="00660C9D"/>
    <w:rsid w:val="00660CAD"/>
    <w:rsid w:val="00660CD9"/>
    <w:rsid w:val="00660D9C"/>
    <w:rsid w:val="00660E61"/>
    <w:rsid w:val="00661655"/>
    <w:rsid w:val="006616A5"/>
    <w:rsid w:val="00661743"/>
    <w:rsid w:val="0066183B"/>
    <w:rsid w:val="00661909"/>
    <w:rsid w:val="00661A63"/>
    <w:rsid w:val="00661D45"/>
    <w:rsid w:val="00661DB4"/>
    <w:rsid w:val="00661DF4"/>
    <w:rsid w:val="00661F35"/>
    <w:rsid w:val="00661F7F"/>
    <w:rsid w:val="00661FAD"/>
    <w:rsid w:val="00662105"/>
    <w:rsid w:val="00662119"/>
    <w:rsid w:val="0066222E"/>
    <w:rsid w:val="006622A6"/>
    <w:rsid w:val="006623B2"/>
    <w:rsid w:val="0066258B"/>
    <w:rsid w:val="006625A7"/>
    <w:rsid w:val="0066263C"/>
    <w:rsid w:val="006626D4"/>
    <w:rsid w:val="00662841"/>
    <w:rsid w:val="00662901"/>
    <w:rsid w:val="006629E6"/>
    <w:rsid w:val="00662AC1"/>
    <w:rsid w:val="00662AEC"/>
    <w:rsid w:val="00662AF8"/>
    <w:rsid w:val="00662B15"/>
    <w:rsid w:val="00662B23"/>
    <w:rsid w:val="00662CCE"/>
    <w:rsid w:val="00662F84"/>
    <w:rsid w:val="006630E7"/>
    <w:rsid w:val="00663166"/>
    <w:rsid w:val="0066337F"/>
    <w:rsid w:val="00663544"/>
    <w:rsid w:val="006635E1"/>
    <w:rsid w:val="00663687"/>
    <w:rsid w:val="006636B3"/>
    <w:rsid w:val="00663730"/>
    <w:rsid w:val="00663785"/>
    <w:rsid w:val="00663939"/>
    <w:rsid w:val="00663BC9"/>
    <w:rsid w:val="00663D9C"/>
    <w:rsid w:val="00663EFC"/>
    <w:rsid w:val="00664144"/>
    <w:rsid w:val="006642F4"/>
    <w:rsid w:val="00664413"/>
    <w:rsid w:val="006644D6"/>
    <w:rsid w:val="00664547"/>
    <w:rsid w:val="006645EB"/>
    <w:rsid w:val="006646EE"/>
    <w:rsid w:val="0066477C"/>
    <w:rsid w:val="0066477E"/>
    <w:rsid w:val="006649CA"/>
    <w:rsid w:val="00664AD3"/>
    <w:rsid w:val="00664B18"/>
    <w:rsid w:val="00664BFC"/>
    <w:rsid w:val="00664D19"/>
    <w:rsid w:val="00664D36"/>
    <w:rsid w:val="00664F80"/>
    <w:rsid w:val="00665007"/>
    <w:rsid w:val="006650A8"/>
    <w:rsid w:val="00665286"/>
    <w:rsid w:val="006652FC"/>
    <w:rsid w:val="0066540C"/>
    <w:rsid w:val="006654AB"/>
    <w:rsid w:val="006654C5"/>
    <w:rsid w:val="00665550"/>
    <w:rsid w:val="006655BD"/>
    <w:rsid w:val="006658C4"/>
    <w:rsid w:val="00665A80"/>
    <w:rsid w:val="00665AE2"/>
    <w:rsid w:val="00665B37"/>
    <w:rsid w:val="00665B4D"/>
    <w:rsid w:val="00665E9D"/>
    <w:rsid w:val="00665F8E"/>
    <w:rsid w:val="00665FE3"/>
    <w:rsid w:val="00666164"/>
    <w:rsid w:val="00666224"/>
    <w:rsid w:val="0066623E"/>
    <w:rsid w:val="00666351"/>
    <w:rsid w:val="00666538"/>
    <w:rsid w:val="00666687"/>
    <w:rsid w:val="00666A1E"/>
    <w:rsid w:val="00666ACC"/>
    <w:rsid w:val="00666B80"/>
    <w:rsid w:val="00666C92"/>
    <w:rsid w:val="00666CBC"/>
    <w:rsid w:val="00666EDD"/>
    <w:rsid w:val="00666F33"/>
    <w:rsid w:val="00667248"/>
    <w:rsid w:val="00667506"/>
    <w:rsid w:val="0066771E"/>
    <w:rsid w:val="0066779E"/>
    <w:rsid w:val="00667B2E"/>
    <w:rsid w:val="00667D25"/>
    <w:rsid w:val="00667D40"/>
    <w:rsid w:val="00667DE9"/>
    <w:rsid w:val="00667F0C"/>
    <w:rsid w:val="00667F28"/>
    <w:rsid w:val="00670122"/>
    <w:rsid w:val="006701C0"/>
    <w:rsid w:val="0067072D"/>
    <w:rsid w:val="00670730"/>
    <w:rsid w:val="0067085E"/>
    <w:rsid w:val="006709C2"/>
    <w:rsid w:val="00670AB2"/>
    <w:rsid w:val="00670CE3"/>
    <w:rsid w:val="00670DFF"/>
    <w:rsid w:val="00670E3D"/>
    <w:rsid w:val="00670F17"/>
    <w:rsid w:val="00671003"/>
    <w:rsid w:val="0067106A"/>
    <w:rsid w:val="0067114F"/>
    <w:rsid w:val="00671177"/>
    <w:rsid w:val="0067120F"/>
    <w:rsid w:val="0067126A"/>
    <w:rsid w:val="00671294"/>
    <w:rsid w:val="0067134D"/>
    <w:rsid w:val="00671393"/>
    <w:rsid w:val="00671676"/>
    <w:rsid w:val="0067169D"/>
    <w:rsid w:val="00671B05"/>
    <w:rsid w:val="00671BAE"/>
    <w:rsid w:val="00671BE1"/>
    <w:rsid w:val="00671DC7"/>
    <w:rsid w:val="00671EEB"/>
    <w:rsid w:val="00671F5C"/>
    <w:rsid w:val="00671F7C"/>
    <w:rsid w:val="00672023"/>
    <w:rsid w:val="0067229A"/>
    <w:rsid w:val="00672314"/>
    <w:rsid w:val="00672390"/>
    <w:rsid w:val="00672579"/>
    <w:rsid w:val="0067265B"/>
    <w:rsid w:val="0067272A"/>
    <w:rsid w:val="0067274E"/>
    <w:rsid w:val="00672786"/>
    <w:rsid w:val="006727E6"/>
    <w:rsid w:val="00672817"/>
    <w:rsid w:val="006728D3"/>
    <w:rsid w:val="00672933"/>
    <w:rsid w:val="00672B38"/>
    <w:rsid w:val="00672C02"/>
    <w:rsid w:val="00672E17"/>
    <w:rsid w:val="00672E21"/>
    <w:rsid w:val="00672E4C"/>
    <w:rsid w:val="00672E9E"/>
    <w:rsid w:val="00672F40"/>
    <w:rsid w:val="00672F5D"/>
    <w:rsid w:val="006730F5"/>
    <w:rsid w:val="0067342F"/>
    <w:rsid w:val="006734EC"/>
    <w:rsid w:val="00673633"/>
    <w:rsid w:val="00673703"/>
    <w:rsid w:val="00673724"/>
    <w:rsid w:val="00673777"/>
    <w:rsid w:val="00673987"/>
    <w:rsid w:val="00673D0C"/>
    <w:rsid w:val="00673D56"/>
    <w:rsid w:val="006741E3"/>
    <w:rsid w:val="0067425F"/>
    <w:rsid w:val="0067433F"/>
    <w:rsid w:val="006743AD"/>
    <w:rsid w:val="00674447"/>
    <w:rsid w:val="006746E6"/>
    <w:rsid w:val="00674844"/>
    <w:rsid w:val="0067492E"/>
    <w:rsid w:val="00674A01"/>
    <w:rsid w:val="00674B58"/>
    <w:rsid w:val="00674BA8"/>
    <w:rsid w:val="00674C78"/>
    <w:rsid w:val="0067521D"/>
    <w:rsid w:val="00675241"/>
    <w:rsid w:val="006752E0"/>
    <w:rsid w:val="00675628"/>
    <w:rsid w:val="0067565B"/>
    <w:rsid w:val="00675A65"/>
    <w:rsid w:val="00675C2E"/>
    <w:rsid w:val="00675C90"/>
    <w:rsid w:val="00675DC9"/>
    <w:rsid w:val="0067630D"/>
    <w:rsid w:val="0067632D"/>
    <w:rsid w:val="006764C8"/>
    <w:rsid w:val="00676594"/>
    <w:rsid w:val="00676691"/>
    <w:rsid w:val="006767EE"/>
    <w:rsid w:val="00676828"/>
    <w:rsid w:val="00676837"/>
    <w:rsid w:val="006769A5"/>
    <w:rsid w:val="00676A82"/>
    <w:rsid w:val="00676A89"/>
    <w:rsid w:val="00676E0B"/>
    <w:rsid w:val="00676ED9"/>
    <w:rsid w:val="006770CB"/>
    <w:rsid w:val="006773F9"/>
    <w:rsid w:val="006774A5"/>
    <w:rsid w:val="00677657"/>
    <w:rsid w:val="00677677"/>
    <w:rsid w:val="006776C2"/>
    <w:rsid w:val="0067776F"/>
    <w:rsid w:val="0067785B"/>
    <w:rsid w:val="0067791A"/>
    <w:rsid w:val="00677F94"/>
    <w:rsid w:val="00680056"/>
    <w:rsid w:val="00680181"/>
    <w:rsid w:val="00680274"/>
    <w:rsid w:val="00680410"/>
    <w:rsid w:val="006805EE"/>
    <w:rsid w:val="006808A1"/>
    <w:rsid w:val="00680A3D"/>
    <w:rsid w:val="00680A52"/>
    <w:rsid w:val="00680AB8"/>
    <w:rsid w:val="00680ABF"/>
    <w:rsid w:val="00680CCC"/>
    <w:rsid w:val="00680DBB"/>
    <w:rsid w:val="00680FC7"/>
    <w:rsid w:val="00681079"/>
    <w:rsid w:val="00681292"/>
    <w:rsid w:val="00681347"/>
    <w:rsid w:val="00681386"/>
    <w:rsid w:val="006813EF"/>
    <w:rsid w:val="0068141C"/>
    <w:rsid w:val="006814B7"/>
    <w:rsid w:val="006816DD"/>
    <w:rsid w:val="00681A34"/>
    <w:rsid w:val="00681BCD"/>
    <w:rsid w:val="00681CBD"/>
    <w:rsid w:val="00681FFE"/>
    <w:rsid w:val="00682099"/>
    <w:rsid w:val="00682169"/>
    <w:rsid w:val="006822A1"/>
    <w:rsid w:val="006822F2"/>
    <w:rsid w:val="006824AC"/>
    <w:rsid w:val="0068257F"/>
    <w:rsid w:val="00682593"/>
    <w:rsid w:val="00682688"/>
    <w:rsid w:val="006826E7"/>
    <w:rsid w:val="00682874"/>
    <w:rsid w:val="006829D1"/>
    <w:rsid w:val="00682A37"/>
    <w:rsid w:val="00682B4A"/>
    <w:rsid w:val="00682C1C"/>
    <w:rsid w:val="00682D5D"/>
    <w:rsid w:val="00682D70"/>
    <w:rsid w:val="00683282"/>
    <w:rsid w:val="00683293"/>
    <w:rsid w:val="006832E0"/>
    <w:rsid w:val="006833B3"/>
    <w:rsid w:val="0068380F"/>
    <w:rsid w:val="0068381D"/>
    <w:rsid w:val="00683999"/>
    <w:rsid w:val="00683AF2"/>
    <w:rsid w:val="00683C54"/>
    <w:rsid w:val="00683F8F"/>
    <w:rsid w:val="006840A9"/>
    <w:rsid w:val="00684165"/>
    <w:rsid w:val="0068425D"/>
    <w:rsid w:val="0068433C"/>
    <w:rsid w:val="00684379"/>
    <w:rsid w:val="00684712"/>
    <w:rsid w:val="0068478E"/>
    <w:rsid w:val="00684826"/>
    <w:rsid w:val="00684887"/>
    <w:rsid w:val="00684A25"/>
    <w:rsid w:val="00684B88"/>
    <w:rsid w:val="00684B9C"/>
    <w:rsid w:val="00684C67"/>
    <w:rsid w:val="00684FCC"/>
    <w:rsid w:val="00685137"/>
    <w:rsid w:val="00685235"/>
    <w:rsid w:val="00685247"/>
    <w:rsid w:val="00685330"/>
    <w:rsid w:val="006854A2"/>
    <w:rsid w:val="00685519"/>
    <w:rsid w:val="0068557B"/>
    <w:rsid w:val="006855A2"/>
    <w:rsid w:val="006855BF"/>
    <w:rsid w:val="006855D3"/>
    <w:rsid w:val="00685832"/>
    <w:rsid w:val="00685883"/>
    <w:rsid w:val="00685885"/>
    <w:rsid w:val="00685946"/>
    <w:rsid w:val="00685B83"/>
    <w:rsid w:val="00685C32"/>
    <w:rsid w:val="00685E35"/>
    <w:rsid w:val="00685F47"/>
    <w:rsid w:val="00685F7A"/>
    <w:rsid w:val="00685FB7"/>
    <w:rsid w:val="00686047"/>
    <w:rsid w:val="0068629C"/>
    <w:rsid w:val="00686465"/>
    <w:rsid w:val="006865CE"/>
    <w:rsid w:val="006865E6"/>
    <w:rsid w:val="006868C8"/>
    <w:rsid w:val="006868FC"/>
    <w:rsid w:val="00686912"/>
    <w:rsid w:val="006869AE"/>
    <w:rsid w:val="00686A85"/>
    <w:rsid w:val="00686A9D"/>
    <w:rsid w:val="00686ABC"/>
    <w:rsid w:val="00686D54"/>
    <w:rsid w:val="00686D8B"/>
    <w:rsid w:val="006872AA"/>
    <w:rsid w:val="00687437"/>
    <w:rsid w:val="00687456"/>
    <w:rsid w:val="0068754E"/>
    <w:rsid w:val="00687558"/>
    <w:rsid w:val="00687578"/>
    <w:rsid w:val="00687683"/>
    <w:rsid w:val="006876A4"/>
    <w:rsid w:val="0068770B"/>
    <w:rsid w:val="00687756"/>
    <w:rsid w:val="00687891"/>
    <w:rsid w:val="00687D21"/>
    <w:rsid w:val="00687E3C"/>
    <w:rsid w:val="00687E66"/>
    <w:rsid w:val="00687F2D"/>
    <w:rsid w:val="0069013A"/>
    <w:rsid w:val="00690229"/>
    <w:rsid w:val="00690349"/>
    <w:rsid w:val="00690361"/>
    <w:rsid w:val="00690622"/>
    <w:rsid w:val="00690694"/>
    <w:rsid w:val="006906FD"/>
    <w:rsid w:val="0069087D"/>
    <w:rsid w:val="006909E7"/>
    <w:rsid w:val="00690AAF"/>
    <w:rsid w:val="00690C6C"/>
    <w:rsid w:val="00690CFA"/>
    <w:rsid w:val="00690D20"/>
    <w:rsid w:val="0069111F"/>
    <w:rsid w:val="006911FE"/>
    <w:rsid w:val="0069125A"/>
    <w:rsid w:val="00691944"/>
    <w:rsid w:val="00691964"/>
    <w:rsid w:val="00691B88"/>
    <w:rsid w:val="00691D4D"/>
    <w:rsid w:val="00691DD9"/>
    <w:rsid w:val="00691EFB"/>
    <w:rsid w:val="00691F9A"/>
    <w:rsid w:val="00692124"/>
    <w:rsid w:val="0069241D"/>
    <w:rsid w:val="0069241F"/>
    <w:rsid w:val="00692471"/>
    <w:rsid w:val="006924E2"/>
    <w:rsid w:val="006925BA"/>
    <w:rsid w:val="00692677"/>
    <w:rsid w:val="006926A9"/>
    <w:rsid w:val="00692887"/>
    <w:rsid w:val="006928A9"/>
    <w:rsid w:val="0069299E"/>
    <w:rsid w:val="00692A83"/>
    <w:rsid w:val="00692B20"/>
    <w:rsid w:val="00692B2B"/>
    <w:rsid w:val="00692B62"/>
    <w:rsid w:val="00692C54"/>
    <w:rsid w:val="00692ED6"/>
    <w:rsid w:val="00692F17"/>
    <w:rsid w:val="00692F56"/>
    <w:rsid w:val="006930CE"/>
    <w:rsid w:val="006930D5"/>
    <w:rsid w:val="00693216"/>
    <w:rsid w:val="006932B1"/>
    <w:rsid w:val="006933B4"/>
    <w:rsid w:val="006933EE"/>
    <w:rsid w:val="0069343F"/>
    <w:rsid w:val="0069345C"/>
    <w:rsid w:val="0069363A"/>
    <w:rsid w:val="006937B1"/>
    <w:rsid w:val="006937E0"/>
    <w:rsid w:val="00693B02"/>
    <w:rsid w:val="00693B36"/>
    <w:rsid w:val="00693BA5"/>
    <w:rsid w:val="00693BDB"/>
    <w:rsid w:val="00693F03"/>
    <w:rsid w:val="00693F11"/>
    <w:rsid w:val="006940BD"/>
    <w:rsid w:val="00694246"/>
    <w:rsid w:val="006945B6"/>
    <w:rsid w:val="00694876"/>
    <w:rsid w:val="006949EC"/>
    <w:rsid w:val="00694BC8"/>
    <w:rsid w:val="00694C0F"/>
    <w:rsid w:val="00694C42"/>
    <w:rsid w:val="00694CEF"/>
    <w:rsid w:val="00694DF9"/>
    <w:rsid w:val="00694EF8"/>
    <w:rsid w:val="006950F0"/>
    <w:rsid w:val="0069517B"/>
    <w:rsid w:val="006951B9"/>
    <w:rsid w:val="00695308"/>
    <w:rsid w:val="00695361"/>
    <w:rsid w:val="006953B8"/>
    <w:rsid w:val="006954E5"/>
    <w:rsid w:val="00695958"/>
    <w:rsid w:val="006959B2"/>
    <w:rsid w:val="00695A9C"/>
    <w:rsid w:val="00695B5D"/>
    <w:rsid w:val="00695C86"/>
    <w:rsid w:val="00695D86"/>
    <w:rsid w:val="00695ECD"/>
    <w:rsid w:val="00695F13"/>
    <w:rsid w:val="00695FA1"/>
    <w:rsid w:val="0069603B"/>
    <w:rsid w:val="0069627B"/>
    <w:rsid w:val="00696365"/>
    <w:rsid w:val="006963D2"/>
    <w:rsid w:val="0069645B"/>
    <w:rsid w:val="0069668B"/>
    <w:rsid w:val="00696804"/>
    <w:rsid w:val="00696B6E"/>
    <w:rsid w:val="00696B84"/>
    <w:rsid w:val="00696D37"/>
    <w:rsid w:val="00696E87"/>
    <w:rsid w:val="00697143"/>
    <w:rsid w:val="006971DE"/>
    <w:rsid w:val="006972C0"/>
    <w:rsid w:val="0069739A"/>
    <w:rsid w:val="00697444"/>
    <w:rsid w:val="006977F5"/>
    <w:rsid w:val="00697942"/>
    <w:rsid w:val="00697AA5"/>
    <w:rsid w:val="00697AC5"/>
    <w:rsid w:val="00697C64"/>
    <w:rsid w:val="00697D2B"/>
    <w:rsid w:val="00697E69"/>
    <w:rsid w:val="006A02C9"/>
    <w:rsid w:val="006A0366"/>
    <w:rsid w:val="006A0532"/>
    <w:rsid w:val="006A06FC"/>
    <w:rsid w:val="006A079E"/>
    <w:rsid w:val="006A088D"/>
    <w:rsid w:val="006A0C7D"/>
    <w:rsid w:val="006A0D13"/>
    <w:rsid w:val="006A0DC6"/>
    <w:rsid w:val="006A0F20"/>
    <w:rsid w:val="006A0F71"/>
    <w:rsid w:val="006A1164"/>
    <w:rsid w:val="006A12D3"/>
    <w:rsid w:val="006A1494"/>
    <w:rsid w:val="006A15B0"/>
    <w:rsid w:val="006A1836"/>
    <w:rsid w:val="006A1872"/>
    <w:rsid w:val="006A19ED"/>
    <w:rsid w:val="006A1B13"/>
    <w:rsid w:val="006A1B14"/>
    <w:rsid w:val="006A1B5E"/>
    <w:rsid w:val="006A1C4C"/>
    <w:rsid w:val="006A1D91"/>
    <w:rsid w:val="006A1F56"/>
    <w:rsid w:val="006A1F71"/>
    <w:rsid w:val="006A2040"/>
    <w:rsid w:val="006A2074"/>
    <w:rsid w:val="006A20EE"/>
    <w:rsid w:val="006A2126"/>
    <w:rsid w:val="006A21B6"/>
    <w:rsid w:val="006A24C8"/>
    <w:rsid w:val="006A24ED"/>
    <w:rsid w:val="006A2935"/>
    <w:rsid w:val="006A2A16"/>
    <w:rsid w:val="006A2A62"/>
    <w:rsid w:val="006A2D74"/>
    <w:rsid w:val="006A2E6C"/>
    <w:rsid w:val="006A309B"/>
    <w:rsid w:val="006A31CD"/>
    <w:rsid w:val="006A32AD"/>
    <w:rsid w:val="006A3352"/>
    <w:rsid w:val="006A35A5"/>
    <w:rsid w:val="006A362A"/>
    <w:rsid w:val="006A3711"/>
    <w:rsid w:val="006A3B80"/>
    <w:rsid w:val="006A3EB3"/>
    <w:rsid w:val="006A3ED5"/>
    <w:rsid w:val="006A4323"/>
    <w:rsid w:val="006A4670"/>
    <w:rsid w:val="006A4CB3"/>
    <w:rsid w:val="006A4D2C"/>
    <w:rsid w:val="006A5001"/>
    <w:rsid w:val="006A5052"/>
    <w:rsid w:val="006A50ED"/>
    <w:rsid w:val="006A51EE"/>
    <w:rsid w:val="006A522A"/>
    <w:rsid w:val="006A542E"/>
    <w:rsid w:val="006A54BA"/>
    <w:rsid w:val="006A55B1"/>
    <w:rsid w:val="006A571C"/>
    <w:rsid w:val="006A57EA"/>
    <w:rsid w:val="006A5807"/>
    <w:rsid w:val="006A5811"/>
    <w:rsid w:val="006A58AD"/>
    <w:rsid w:val="006A590A"/>
    <w:rsid w:val="006A5A6D"/>
    <w:rsid w:val="006A5BE5"/>
    <w:rsid w:val="006A5DA1"/>
    <w:rsid w:val="006A5E5D"/>
    <w:rsid w:val="006A5F5A"/>
    <w:rsid w:val="006A5F7F"/>
    <w:rsid w:val="006A5FA6"/>
    <w:rsid w:val="006A5FDB"/>
    <w:rsid w:val="006A6074"/>
    <w:rsid w:val="006A6245"/>
    <w:rsid w:val="006A6409"/>
    <w:rsid w:val="006A66E8"/>
    <w:rsid w:val="006A67A1"/>
    <w:rsid w:val="006A68F7"/>
    <w:rsid w:val="006A6999"/>
    <w:rsid w:val="006A69A2"/>
    <w:rsid w:val="006A6A6F"/>
    <w:rsid w:val="006A6AD6"/>
    <w:rsid w:val="006A6AE2"/>
    <w:rsid w:val="006A6AE8"/>
    <w:rsid w:val="006A6F57"/>
    <w:rsid w:val="006A6FA8"/>
    <w:rsid w:val="006A701F"/>
    <w:rsid w:val="006A77F9"/>
    <w:rsid w:val="006A78D0"/>
    <w:rsid w:val="006A79F4"/>
    <w:rsid w:val="006A7A07"/>
    <w:rsid w:val="006A7A53"/>
    <w:rsid w:val="006A7B64"/>
    <w:rsid w:val="006A7C3B"/>
    <w:rsid w:val="006A7CD5"/>
    <w:rsid w:val="006A7D14"/>
    <w:rsid w:val="006B0026"/>
    <w:rsid w:val="006B00B2"/>
    <w:rsid w:val="006B00C9"/>
    <w:rsid w:val="006B0456"/>
    <w:rsid w:val="006B076F"/>
    <w:rsid w:val="006B0824"/>
    <w:rsid w:val="006B089C"/>
    <w:rsid w:val="006B0A89"/>
    <w:rsid w:val="006B0BDB"/>
    <w:rsid w:val="006B0CE5"/>
    <w:rsid w:val="006B0E25"/>
    <w:rsid w:val="006B0ECB"/>
    <w:rsid w:val="006B0FC8"/>
    <w:rsid w:val="006B10C3"/>
    <w:rsid w:val="006B117C"/>
    <w:rsid w:val="006B11A2"/>
    <w:rsid w:val="006B11D6"/>
    <w:rsid w:val="006B129C"/>
    <w:rsid w:val="006B139A"/>
    <w:rsid w:val="006B1440"/>
    <w:rsid w:val="006B14B7"/>
    <w:rsid w:val="006B19FD"/>
    <w:rsid w:val="006B1A97"/>
    <w:rsid w:val="006B1AA6"/>
    <w:rsid w:val="006B1B5B"/>
    <w:rsid w:val="006B206E"/>
    <w:rsid w:val="006B2184"/>
    <w:rsid w:val="006B21C5"/>
    <w:rsid w:val="006B2352"/>
    <w:rsid w:val="006B2574"/>
    <w:rsid w:val="006B25C0"/>
    <w:rsid w:val="006B27AA"/>
    <w:rsid w:val="006B2808"/>
    <w:rsid w:val="006B2B74"/>
    <w:rsid w:val="006B2BB6"/>
    <w:rsid w:val="006B2E5D"/>
    <w:rsid w:val="006B3014"/>
    <w:rsid w:val="006B3269"/>
    <w:rsid w:val="006B3472"/>
    <w:rsid w:val="006B3575"/>
    <w:rsid w:val="006B35E2"/>
    <w:rsid w:val="006B36B5"/>
    <w:rsid w:val="006B36BB"/>
    <w:rsid w:val="006B3B9C"/>
    <w:rsid w:val="006B3EE5"/>
    <w:rsid w:val="006B408F"/>
    <w:rsid w:val="006B4123"/>
    <w:rsid w:val="006B4175"/>
    <w:rsid w:val="006B4305"/>
    <w:rsid w:val="006B45FF"/>
    <w:rsid w:val="006B4856"/>
    <w:rsid w:val="006B49C5"/>
    <w:rsid w:val="006B4B55"/>
    <w:rsid w:val="006B4BA7"/>
    <w:rsid w:val="006B4C17"/>
    <w:rsid w:val="006B4E48"/>
    <w:rsid w:val="006B4E5C"/>
    <w:rsid w:val="006B504B"/>
    <w:rsid w:val="006B50D2"/>
    <w:rsid w:val="006B50DE"/>
    <w:rsid w:val="006B50E6"/>
    <w:rsid w:val="006B50F5"/>
    <w:rsid w:val="006B512B"/>
    <w:rsid w:val="006B51CC"/>
    <w:rsid w:val="006B5270"/>
    <w:rsid w:val="006B54F1"/>
    <w:rsid w:val="006B5915"/>
    <w:rsid w:val="006B5C12"/>
    <w:rsid w:val="006B5CC2"/>
    <w:rsid w:val="006B5E40"/>
    <w:rsid w:val="006B5FE1"/>
    <w:rsid w:val="006B62EA"/>
    <w:rsid w:val="006B632F"/>
    <w:rsid w:val="006B637E"/>
    <w:rsid w:val="006B6597"/>
    <w:rsid w:val="006B65DA"/>
    <w:rsid w:val="006B66AA"/>
    <w:rsid w:val="006B6749"/>
    <w:rsid w:val="006B6751"/>
    <w:rsid w:val="006B6890"/>
    <w:rsid w:val="006B6A59"/>
    <w:rsid w:val="006B6A7E"/>
    <w:rsid w:val="006B6AB0"/>
    <w:rsid w:val="006B6AC0"/>
    <w:rsid w:val="006B6B7B"/>
    <w:rsid w:val="006B6CCD"/>
    <w:rsid w:val="006B6F87"/>
    <w:rsid w:val="006B7188"/>
    <w:rsid w:val="006B75FE"/>
    <w:rsid w:val="006B770E"/>
    <w:rsid w:val="006B7A59"/>
    <w:rsid w:val="006B7A63"/>
    <w:rsid w:val="006B7A7D"/>
    <w:rsid w:val="006B7C20"/>
    <w:rsid w:val="006B7C46"/>
    <w:rsid w:val="006B7CCC"/>
    <w:rsid w:val="006B7CE7"/>
    <w:rsid w:val="006B7D66"/>
    <w:rsid w:val="006B7E0B"/>
    <w:rsid w:val="006B7E83"/>
    <w:rsid w:val="006B7F66"/>
    <w:rsid w:val="006C0020"/>
    <w:rsid w:val="006C0048"/>
    <w:rsid w:val="006C005E"/>
    <w:rsid w:val="006C01E2"/>
    <w:rsid w:val="006C0503"/>
    <w:rsid w:val="006C0599"/>
    <w:rsid w:val="006C05FB"/>
    <w:rsid w:val="006C0649"/>
    <w:rsid w:val="006C07CB"/>
    <w:rsid w:val="006C08CF"/>
    <w:rsid w:val="006C095E"/>
    <w:rsid w:val="006C0AB2"/>
    <w:rsid w:val="006C0B91"/>
    <w:rsid w:val="006C0BDC"/>
    <w:rsid w:val="006C0D94"/>
    <w:rsid w:val="006C0E38"/>
    <w:rsid w:val="006C1057"/>
    <w:rsid w:val="006C1259"/>
    <w:rsid w:val="006C153B"/>
    <w:rsid w:val="006C1766"/>
    <w:rsid w:val="006C1782"/>
    <w:rsid w:val="006C19D4"/>
    <w:rsid w:val="006C1AED"/>
    <w:rsid w:val="006C1DB2"/>
    <w:rsid w:val="006C1E33"/>
    <w:rsid w:val="006C1F8C"/>
    <w:rsid w:val="006C209F"/>
    <w:rsid w:val="006C210B"/>
    <w:rsid w:val="006C21AB"/>
    <w:rsid w:val="006C22D7"/>
    <w:rsid w:val="006C2514"/>
    <w:rsid w:val="006C268D"/>
    <w:rsid w:val="006C2821"/>
    <w:rsid w:val="006C288E"/>
    <w:rsid w:val="006C2955"/>
    <w:rsid w:val="006C29CD"/>
    <w:rsid w:val="006C29E0"/>
    <w:rsid w:val="006C2A83"/>
    <w:rsid w:val="006C2CD0"/>
    <w:rsid w:val="006C2D0B"/>
    <w:rsid w:val="006C2E3A"/>
    <w:rsid w:val="006C2E60"/>
    <w:rsid w:val="006C2F1F"/>
    <w:rsid w:val="006C2F46"/>
    <w:rsid w:val="006C2FA7"/>
    <w:rsid w:val="006C2FD0"/>
    <w:rsid w:val="006C30F3"/>
    <w:rsid w:val="006C3128"/>
    <w:rsid w:val="006C3183"/>
    <w:rsid w:val="006C339F"/>
    <w:rsid w:val="006C33A6"/>
    <w:rsid w:val="006C3478"/>
    <w:rsid w:val="006C34C8"/>
    <w:rsid w:val="006C3537"/>
    <w:rsid w:val="006C3780"/>
    <w:rsid w:val="006C390D"/>
    <w:rsid w:val="006C39A3"/>
    <w:rsid w:val="006C3AD5"/>
    <w:rsid w:val="006C3CA2"/>
    <w:rsid w:val="006C3D1C"/>
    <w:rsid w:val="006C3D75"/>
    <w:rsid w:val="006C3D96"/>
    <w:rsid w:val="006C3DED"/>
    <w:rsid w:val="006C3E00"/>
    <w:rsid w:val="006C4014"/>
    <w:rsid w:val="006C4131"/>
    <w:rsid w:val="006C4140"/>
    <w:rsid w:val="006C41E1"/>
    <w:rsid w:val="006C41E7"/>
    <w:rsid w:val="006C41F6"/>
    <w:rsid w:val="006C4342"/>
    <w:rsid w:val="006C43E4"/>
    <w:rsid w:val="006C4495"/>
    <w:rsid w:val="006C46EC"/>
    <w:rsid w:val="006C492D"/>
    <w:rsid w:val="006C4A83"/>
    <w:rsid w:val="006C4C32"/>
    <w:rsid w:val="006C4F10"/>
    <w:rsid w:val="006C4F7F"/>
    <w:rsid w:val="006C4FBF"/>
    <w:rsid w:val="006C5068"/>
    <w:rsid w:val="006C50F2"/>
    <w:rsid w:val="006C51AF"/>
    <w:rsid w:val="006C52B1"/>
    <w:rsid w:val="006C52E7"/>
    <w:rsid w:val="006C5306"/>
    <w:rsid w:val="006C5385"/>
    <w:rsid w:val="006C53E5"/>
    <w:rsid w:val="006C54C2"/>
    <w:rsid w:val="006C560A"/>
    <w:rsid w:val="006C5849"/>
    <w:rsid w:val="006C58A4"/>
    <w:rsid w:val="006C5A9C"/>
    <w:rsid w:val="006C5B15"/>
    <w:rsid w:val="006C5BDD"/>
    <w:rsid w:val="006C5DBC"/>
    <w:rsid w:val="006C5E28"/>
    <w:rsid w:val="006C6067"/>
    <w:rsid w:val="006C61EA"/>
    <w:rsid w:val="006C61FE"/>
    <w:rsid w:val="006C6472"/>
    <w:rsid w:val="006C655C"/>
    <w:rsid w:val="006C66F4"/>
    <w:rsid w:val="006C67E2"/>
    <w:rsid w:val="006C687A"/>
    <w:rsid w:val="006C6934"/>
    <w:rsid w:val="006C696D"/>
    <w:rsid w:val="006C69A2"/>
    <w:rsid w:val="006C6A28"/>
    <w:rsid w:val="006C6ADE"/>
    <w:rsid w:val="006C6AE9"/>
    <w:rsid w:val="006C6B11"/>
    <w:rsid w:val="006C6C1B"/>
    <w:rsid w:val="006C6FE3"/>
    <w:rsid w:val="006C6FFC"/>
    <w:rsid w:val="006C7111"/>
    <w:rsid w:val="006C7361"/>
    <w:rsid w:val="006C739B"/>
    <w:rsid w:val="006C73F5"/>
    <w:rsid w:val="006C7996"/>
    <w:rsid w:val="006C7B58"/>
    <w:rsid w:val="006C7DDF"/>
    <w:rsid w:val="006C7EA3"/>
    <w:rsid w:val="006D0318"/>
    <w:rsid w:val="006D0333"/>
    <w:rsid w:val="006D0484"/>
    <w:rsid w:val="006D05E4"/>
    <w:rsid w:val="006D0616"/>
    <w:rsid w:val="006D0C04"/>
    <w:rsid w:val="006D0C53"/>
    <w:rsid w:val="006D0D07"/>
    <w:rsid w:val="006D0D80"/>
    <w:rsid w:val="006D0E41"/>
    <w:rsid w:val="006D0F83"/>
    <w:rsid w:val="006D1067"/>
    <w:rsid w:val="006D10BF"/>
    <w:rsid w:val="006D113C"/>
    <w:rsid w:val="006D115C"/>
    <w:rsid w:val="006D1174"/>
    <w:rsid w:val="006D13C3"/>
    <w:rsid w:val="006D18C8"/>
    <w:rsid w:val="006D1934"/>
    <w:rsid w:val="006D1978"/>
    <w:rsid w:val="006D1A77"/>
    <w:rsid w:val="006D1CA7"/>
    <w:rsid w:val="006D1DD5"/>
    <w:rsid w:val="006D1DF3"/>
    <w:rsid w:val="006D1E01"/>
    <w:rsid w:val="006D2068"/>
    <w:rsid w:val="006D2169"/>
    <w:rsid w:val="006D2387"/>
    <w:rsid w:val="006D27CB"/>
    <w:rsid w:val="006D2967"/>
    <w:rsid w:val="006D2AEE"/>
    <w:rsid w:val="006D2B87"/>
    <w:rsid w:val="006D2BED"/>
    <w:rsid w:val="006D2C9D"/>
    <w:rsid w:val="006D2CEF"/>
    <w:rsid w:val="006D2DEC"/>
    <w:rsid w:val="006D2DF2"/>
    <w:rsid w:val="006D2E7F"/>
    <w:rsid w:val="006D2EEF"/>
    <w:rsid w:val="006D2FA9"/>
    <w:rsid w:val="006D30E9"/>
    <w:rsid w:val="006D32BC"/>
    <w:rsid w:val="006D32CB"/>
    <w:rsid w:val="006D338C"/>
    <w:rsid w:val="006D3594"/>
    <w:rsid w:val="006D35A9"/>
    <w:rsid w:val="006D35F2"/>
    <w:rsid w:val="006D3677"/>
    <w:rsid w:val="006D367B"/>
    <w:rsid w:val="006D3746"/>
    <w:rsid w:val="006D37D3"/>
    <w:rsid w:val="006D37DD"/>
    <w:rsid w:val="006D3B03"/>
    <w:rsid w:val="006D3C76"/>
    <w:rsid w:val="006D3CC0"/>
    <w:rsid w:val="006D3EA7"/>
    <w:rsid w:val="006D3F49"/>
    <w:rsid w:val="006D41E5"/>
    <w:rsid w:val="006D41FA"/>
    <w:rsid w:val="006D423B"/>
    <w:rsid w:val="006D428E"/>
    <w:rsid w:val="006D42C6"/>
    <w:rsid w:val="006D4436"/>
    <w:rsid w:val="006D4596"/>
    <w:rsid w:val="006D4703"/>
    <w:rsid w:val="006D47CB"/>
    <w:rsid w:val="006D47EC"/>
    <w:rsid w:val="006D47F8"/>
    <w:rsid w:val="006D4824"/>
    <w:rsid w:val="006D48EF"/>
    <w:rsid w:val="006D4C15"/>
    <w:rsid w:val="006D4DB5"/>
    <w:rsid w:val="006D4E18"/>
    <w:rsid w:val="006D4F63"/>
    <w:rsid w:val="006D500D"/>
    <w:rsid w:val="006D51B0"/>
    <w:rsid w:val="006D5319"/>
    <w:rsid w:val="006D537D"/>
    <w:rsid w:val="006D545A"/>
    <w:rsid w:val="006D573A"/>
    <w:rsid w:val="006D57E0"/>
    <w:rsid w:val="006D583F"/>
    <w:rsid w:val="006D5944"/>
    <w:rsid w:val="006D5A27"/>
    <w:rsid w:val="006D5B39"/>
    <w:rsid w:val="006D5CB8"/>
    <w:rsid w:val="006D5D04"/>
    <w:rsid w:val="006D5D56"/>
    <w:rsid w:val="006D5DF1"/>
    <w:rsid w:val="006D5EF2"/>
    <w:rsid w:val="006D602A"/>
    <w:rsid w:val="006D6108"/>
    <w:rsid w:val="006D6118"/>
    <w:rsid w:val="006D61FE"/>
    <w:rsid w:val="006D6215"/>
    <w:rsid w:val="006D626F"/>
    <w:rsid w:val="006D639D"/>
    <w:rsid w:val="006D6565"/>
    <w:rsid w:val="006D66B0"/>
    <w:rsid w:val="006D66F2"/>
    <w:rsid w:val="006D67FF"/>
    <w:rsid w:val="006D6856"/>
    <w:rsid w:val="006D68BC"/>
    <w:rsid w:val="006D68BE"/>
    <w:rsid w:val="006D6A5F"/>
    <w:rsid w:val="006D6B1E"/>
    <w:rsid w:val="006D6CE4"/>
    <w:rsid w:val="006D6D8D"/>
    <w:rsid w:val="006D6DB4"/>
    <w:rsid w:val="006D6E59"/>
    <w:rsid w:val="006D713D"/>
    <w:rsid w:val="006D729E"/>
    <w:rsid w:val="006D72CF"/>
    <w:rsid w:val="006D734D"/>
    <w:rsid w:val="006D73A3"/>
    <w:rsid w:val="006D7554"/>
    <w:rsid w:val="006D7593"/>
    <w:rsid w:val="006D7609"/>
    <w:rsid w:val="006D7649"/>
    <w:rsid w:val="006D7694"/>
    <w:rsid w:val="006D793A"/>
    <w:rsid w:val="006D79F4"/>
    <w:rsid w:val="006D7A58"/>
    <w:rsid w:val="006D7BD8"/>
    <w:rsid w:val="006D7C21"/>
    <w:rsid w:val="006D7CAF"/>
    <w:rsid w:val="006D7CB4"/>
    <w:rsid w:val="006E054C"/>
    <w:rsid w:val="006E060C"/>
    <w:rsid w:val="006E067A"/>
    <w:rsid w:val="006E06E8"/>
    <w:rsid w:val="006E0817"/>
    <w:rsid w:val="006E092A"/>
    <w:rsid w:val="006E0A60"/>
    <w:rsid w:val="006E0B87"/>
    <w:rsid w:val="006E0D61"/>
    <w:rsid w:val="006E0DD4"/>
    <w:rsid w:val="006E0DFA"/>
    <w:rsid w:val="006E1043"/>
    <w:rsid w:val="006E10ED"/>
    <w:rsid w:val="006E124D"/>
    <w:rsid w:val="006E12CB"/>
    <w:rsid w:val="006E138B"/>
    <w:rsid w:val="006E1454"/>
    <w:rsid w:val="006E15E9"/>
    <w:rsid w:val="006E1614"/>
    <w:rsid w:val="006E175C"/>
    <w:rsid w:val="006E18DD"/>
    <w:rsid w:val="006E19BB"/>
    <w:rsid w:val="006E1A2F"/>
    <w:rsid w:val="006E1A89"/>
    <w:rsid w:val="006E1AF3"/>
    <w:rsid w:val="006E1D8F"/>
    <w:rsid w:val="006E1F58"/>
    <w:rsid w:val="006E20D4"/>
    <w:rsid w:val="006E20FB"/>
    <w:rsid w:val="006E20FE"/>
    <w:rsid w:val="006E214C"/>
    <w:rsid w:val="006E2242"/>
    <w:rsid w:val="006E228E"/>
    <w:rsid w:val="006E233E"/>
    <w:rsid w:val="006E23D8"/>
    <w:rsid w:val="006E2465"/>
    <w:rsid w:val="006E2868"/>
    <w:rsid w:val="006E2ADB"/>
    <w:rsid w:val="006E2B4B"/>
    <w:rsid w:val="006E2B90"/>
    <w:rsid w:val="006E2BA1"/>
    <w:rsid w:val="006E2D1F"/>
    <w:rsid w:val="006E2DE9"/>
    <w:rsid w:val="006E2ED6"/>
    <w:rsid w:val="006E3030"/>
    <w:rsid w:val="006E34E8"/>
    <w:rsid w:val="006E381B"/>
    <w:rsid w:val="006E38F8"/>
    <w:rsid w:val="006E39C7"/>
    <w:rsid w:val="006E3BC9"/>
    <w:rsid w:val="006E3BCD"/>
    <w:rsid w:val="006E3F78"/>
    <w:rsid w:val="006E410C"/>
    <w:rsid w:val="006E42B5"/>
    <w:rsid w:val="006E43EF"/>
    <w:rsid w:val="006E4685"/>
    <w:rsid w:val="006E481C"/>
    <w:rsid w:val="006E4A5F"/>
    <w:rsid w:val="006E4BDC"/>
    <w:rsid w:val="006E4E13"/>
    <w:rsid w:val="006E4E56"/>
    <w:rsid w:val="006E4E64"/>
    <w:rsid w:val="006E51DE"/>
    <w:rsid w:val="006E535C"/>
    <w:rsid w:val="006E53BE"/>
    <w:rsid w:val="006E54C1"/>
    <w:rsid w:val="006E5606"/>
    <w:rsid w:val="006E56A5"/>
    <w:rsid w:val="006E5863"/>
    <w:rsid w:val="006E59C6"/>
    <w:rsid w:val="006E5AFA"/>
    <w:rsid w:val="006E5B6C"/>
    <w:rsid w:val="006E5C0F"/>
    <w:rsid w:val="006E5C73"/>
    <w:rsid w:val="006E5D3D"/>
    <w:rsid w:val="006E5D82"/>
    <w:rsid w:val="006E6031"/>
    <w:rsid w:val="006E60B1"/>
    <w:rsid w:val="006E6111"/>
    <w:rsid w:val="006E6144"/>
    <w:rsid w:val="006E617B"/>
    <w:rsid w:val="006E65D7"/>
    <w:rsid w:val="006E6774"/>
    <w:rsid w:val="006E688E"/>
    <w:rsid w:val="006E6D21"/>
    <w:rsid w:val="006E6D26"/>
    <w:rsid w:val="006E6D5C"/>
    <w:rsid w:val="006E6FC3"/>
    <w:rsid w:val="006E7020"/>
    <w:rsid w:val="006E70BE"/>
    <w:rsid w:val="006E7174"/>
    <w:rsid w:val="006E71B8"/>
    <w:rsid w:val="006E7367"/>
    <w:rsid w:val="006E7417"/>
    <w:rsid w:val="006E7469"/>
    <w:rsid w:val="006E75C0"/>
    <w:rsid w:val="006E75C8"/>
    <w:rsid w:val="006E77D7"/>
    <w:rsid w:val="006E78D4"/>
    <w:rsid w:val="006E7BA6"/>
    <w:rsid w:val="006E7C75"/>
    <w:rsid w:val="006E7CC1"/>
    <w:rsid w:val="006E7DD8"/>
    <w:rsid w:val="006E7DEC"/>
    <w:rsid w:val="006E7DEE"/>
    <w:rsid w:val="006E7E59"/>
    <w:rsid w:val="006E7EBB"/>
    <w:rsid w:val="006F006D"/>
    <w:rsid w:val="006F02E2"/>
    <w:rsid w:val="006F0303"/>
    <w:rsid w:val="006F035A"/>
    <w:rsid w:val="006F05ED"/>
    <w:rsid w:val="006F05F2"/>
    <w:rsid w:val="006F0645"/>
    <w:rsid w:val="006F0731"/>
    <w:rsid w:val="006F0875"/>
    <w:rsid w:val="006F0A7A"/>
    <w:rsid w:val="006F0BCD"/>
    <w:rsid w:val="006F0DC9"/>
    <w:rsid w:val="006F0DCC"/>
    <w:rsid w:val="006F0DDF"/>
    <w:rsid w:val="006F10F8"/>
    <w:rsid w:val="006F11A9"/>
    <w:rsid w:val="006F1A3A"/>
    <w:rsid w:val="006F1D54"/>
    <w:rsid w:val="006F1D6E"/>
    <w:rsid w:val="006F2216"/>
    <w:rsid w:val="006F22E2"/>
    <w:rsid w:val="006F2537"/>
    <w:rsid w:val="006F278A"/>
    <w:rsid w:val="006F299B"/>
    <w:rsid w:val="006F2A4F"/>
    <w:rsid w:val="006F2A7B"/>
    <w:rsid w:val="006F2B8E"/>
    <w:rsid w:val="006F2D0A"/>
    <w:rsid w:val="006F2DC5"/>
    <w:rsid w:val="006F2F00"/>
    <w:rsid w:val="006F3027"/>
    <w:rsid w:val="006F3032"/>
    <w:rsid w:val="006F327E"/>
    <w:rsid w:val="006F3400"/>
    <w:rsid w:val="006F3762"/>
    <w:rsid w:val="006F3780"/>
    <w:rsid w:val="006F380F"/>
    <w:rsid w:val="006F383F"/>
    <w:rsid w:val="006F3855"/>
    <w:rsid w:val="006F3979"/>
    <w:rsid w:val="006F3A7B"/>
    <w:rsid w:val="006F3A9B"/>
    <w:rsid w:val="006F3D37"/>
    <w:rsid w:val="006F3EC1"/>
    <w:rsid w:val="006F3EC7"/>
    <w:rsid w:val="006F4066"/>
    <w:rsid w:val="006F408E"/>
    <w:rsid w:val="006F4157"/>
    <w:rsid w:val="006F41B0"/>
    <w:rsid w:val="006F4A14"/>
    <w:rsid w:val="006F50D4"/>
    <w:rsid w:val="006F514C"/>
    <w:rsid w:val="006F546B"/>
    <w:rsid w:val="006F54BC"/>
    <w:rsid w:val="006F54C1"/>
    <w:rsid w:val="006F5504"/>
    <w:rsid w:val="006F55FB"/>
    <w:rsid w:val="006F5855"/>
    <w:rsid w:val="006F5BCA"/>
    <w:rsid w:val="006F60AE"/>
    <w:rsid w:val="006F6321"/>
    <w:rsid w:val="006F64E6"/>
    <w:rsid w:val="006F65F8"/>
    <w:rsid w:val="006F6AC4"/>
    <w:rsid w:val="006F6C24"/>
    <w:rsid w:val="006F6C35"/>
    <w:rsid w:val="006F6DA9"/>
    <w:rsid w:val="006F6E32"/>
    <w:rsid w:val="006F6E54"/>
    <w:rsid w:val="006F6E76"/>
    <w:rsid w:val="006F6F18"/>
    <w:rsid w:val="006F6F27"/>
    <w:rsid w:val="006F6FC2"/>
    <w:rsid w:val="006F7044"/>
    <w:rsid w:val="006F70D8"/>
    <w:rsid w:val="006F728C"/>
    <w:rsid w:val="006F753F"/>
    <w:rsid w:val="006F75E1"/>
    <w:rsid w:val="006F7A12"/>
    <w:rsid w:val="006F7A5B"/>
    <w:rsid w:val="006F7C5C"/>
    <w:rsid w:val="006F7E28"/>
    <w:rsid w:val="006F7EA5"/>
    <w:rsid w:val="0070022F"/>
    <w:rsid w:val="00700308"/>
    <w:rsid w:val="007003F4"/>
    <w:rsid w:val="00700531"/>
    <w:rsid w:val="0070055F"/>
    <w:rsid w:val="007005E6"/>
    <w:rsid w:val="007006C5"/>
    <w:rsid w:val="007007E4"/>
    <w:rsid w:val="00700D13"/>
    <w:rsid w:val="00700E80"/>
    <w:rsid w:val="00700F34"/>
    <w:rsid w:val="00700F7D"/>
    <w:rsid w:val="007011DF"/>
    <w:rsid w:val="0070125F"/>
    <w:rsid w:val="00701364"/>
    <w:rsid w:val="00701394"/>
    <w:rsid w:val="007016C9"/>
    <w:rsid w:val="00701724"/>
    <w:rsid w:val="0070189F"/>
    <w:rsid w:val="00701AB1"/>
    <w:rsid w:val="00701D8E"/>
    <w:rsid w:val="00701EA1"/>
    <w:rsid w:val="00701FB8"/>
    <w:rsid w:val="00702179"/>
    <w:rsid w:val="007021BA"/>
    <w:rsid w:val="00702433"/>
    <w:rsid w:val="00702475"/>
    <w:rsid w:val="007024F0"/>
    <w:rsid w:val="007025FF"/>
    <w:rsid w:val="00702657"/>
    <w:rsid w:val="007026E6"/>
    <w:rsid w:val="007027BC"/>
    <w:rsid w:val="007027EA"/>
    <w:rsid w:val="00702A49"/>
    <w:rsid w:val="00702AAD"/>
    <w:rsid w:val="00702E59"/>
    <w:rsid w:val="00702F78"/>
    <w:rsid w:val="00703000"/>
    <w:rsid w:val="0070308E"/>
    <w:rsid w:val="007034EE"/>
    <w:rsid w:val="007034F3"/>
    <w:rsid w:val="00703812"/>
    <w:rsid w:val="0070383C"/>
    <w:rsid w:val="00703964"/>
    <w:rsid w:val="00703A35"/>
    <w:rsid w:val="00703AEA"/>
    <w:rsid w:val="00703E63"/>
    <w:rsid w:val="00703E87"/>
    <w:rsid w:val="00703FF8"/>
    <w:rsid w:val="0070408F"/>
    <w:rsid w:val="00704113"/>
    <w:rsid w:val="00704117"/>
    <w:rsid w:val="0070425A"/>
    <w:rsid w:val="0070425E"/>
    <w:rsid w:val="007043E8"/>
    <w:rsid w:val="0070441A"/>
    <w:rsid w:val="00704485"/>
    <w:rsid w:val="007044B5"/>
    <w:rsid w:val="007047BE"/>
    <w:rsid w:val="0070480C"/>
    <w:rsid w:val="00704A56"/>
    <w:rsid w:val="00704A78"/>
    <w:rsid w:val="00704C51"/>
    <w:rsid w:val="00704DBA"/>
    <w:rsid w:val="0070504D"/>
    <w:rsid w:val="00705135"/>
    <w:rsid w:val="0070519C"/>
    <w:rsid w:val="007052A9"/>
    <w:rsid w:val="007052CD"/>
    <w:rsid w:val="007052F4"/>
    <w:rsid w:val="00705319"/>
    <w:rsid w:val="007055F8"/>
    <w:rsid w:val="0070567E"/>
    <w:rsid w:val="007059D4"/>
    <w:rsid w:val="00705A10"/>
    <w:rsid w:val="00705A49"/>
    <w:rsid w:val="00705AE9"/>
    <w:rsid w:val="00705B3E"/>
    <w:rsid w:val="00705D06"/>
    <w:rsid w:val="007060BB"/>
    <w:rsid w:val="007060C7"/>
    <w:rsid w:val="0070615D"/>
    <w:rsid w:val="0070669D"/>
    <w:rsid w:val="00706726"/>
    <w:rsid w:val="007067BD"/>
    <w:rsid w:val="007067CA"/>
    <w:rsid w:val="0070681A"/>
    <w:rsid w:val="0070694C"/>
    <w:rsid w:val="007069A6"/>
    <w:rsid w:val="00706A57"/>
    <w:rsid w:val="00706AD4"/>
    <w:rsid w:val="00706CA9"/>
    <w:rsid w:val="00706DEA"/>
    <w:rsid w:val="00706EEB"/>
    <w:rsid w:val="007072BC"/>
    <w:rsid w:val="007072F8"/>
    <w:rsid w:val="00707315"/>
    <w:rsid w:val="0070738D"/>
    <w:rsid w:val="0070752C"/>
    <w:rsid w:val="007079A4"/>
    <w:rsid w:val="00707B9C"/>
    <w:rsid w:val="00707F07"/>
    <w:rsid w:val="00707F46"/>
    <w:rsid w:val="00707FBB"/>
    <w:rsid w:val="0071003B"/>
    <w:rsid w:val="0071004E"/>
    <w:rsid w:val="0071016C"/>
    <w:rsid w:val="00710299"/>
    <w:rsid w:val="00710385"/>
    <w:rsid w:val="00710AA0"/>
    <w:rsid w:val="00710BE8"/>
    <w:rsid w:val="00710EA0"/>
    <w:rsid w:val="00711158"/>
    <w:rsid w:val="0071127F"/>
    <w:rsid w:val="00711615"/>
    <w:rsid w:val="0071168F"/>
    <w:rsid w:val="00711750"/>
    <w:rsid w:val="00711779"/>
    <w:rsid w:val="00711856"/>
    <w:rsid w:val="007119DC"/>
    <w:rsid w:val="00711C05"/>
    <w:rsid w:val="00711D4F"/>
    <w:rsid w:val="00711F5B"/>
    <w:rsid w:val="007121F5"/>
    <w:rsid w:val="007122CF"/>
    <w:rsid w:val="007122F6"/>
    <w:rsid w:val="0071231C"/>
    <w:rsid w:val="00712480"/>
    <w:rsid w:val="007126B5"/>
    <w:rsid w:val="00712756"/>
    <w:rsid w:val="00712865"/>
    <w:rsid w:val="007128D7"/>
    <w:rsid w:val="00712A30"/>
    <w:rsid w:val="00712A47"/>
    <w:rsid w:val="00712AAB"/>
    <w:rsid w:val="00712C75"/>
    <w:rsid w:val="00712D51"/>
    <w:rsid w:val="00712F11"/>
    <w:rsid w:val="007130E4"/>
    <w:rsid w:val="0071324F"/>
    <w:rsid w:val="007133D5"/>
    <w:rsid w:val="00713542"/>
    <w:rsid w:val="00713658"/>
    <w:rsid w:val="00713675"/>
    <w:rsid w:val="00713839"/>
    <w:rsid w:val="007139C8"/>
    <w:rsid w:val="00713A13"/>
    <w:rsid w:val="00713A45"/>
    <w:rsid w:val="00713BF2"/>
    <w:rsid w:val="0071404C"/>
    <w:rsid w:val="0071427F"/>
    <w:rsid w:val="00714668"/>
    <w:rsid w:val="0071468B"/>
    <w:rsid w:val="007146DA"/>
    <w:rsid w:val="007147A6"/>
    <w:rsid w:val="00714A83"/>
    <w:rsid w:val="00714C30"/>
    <w:rsid w:val="00714EEB"/>
    <w:rsid w:val="007150CE"/>
    <w:rsid w:val="00715159"/>
    <w:rsid w:val="007153F4"/>
    <w:rsid w:val="007155C5"/>
    <w:rsid w:val="00715699"/>
    <w:rsid w:val="00715825"/>
    <w:rsid w:val="007158B6"/>
    <w:rsid w:val="00715A70"/>
    <w:rsid w:val="00715CA6"/>
    <w:rsid w:val="00715CCF"/>
    <w:rsid w:val="00715DAD"/>
    <w:rsid w:val="00715DCE"/>
    <w:rsid w:val="00715DF9"/>
    <w:rsid w:val="00715EFB"/>
    <w:rsid w:val="00715FA3"/>
    <w:rsid w:val="00716027"/>
    <w:rsid w:val="00716146"/>
    <w:rsid w:val="0071614D"/>
    <w:rsid w:val="0071631F"/>
    <w:rsid w:val="0071634C"/>
    <w:rsid w:val="00716441"/>
    <w:rsid w:val="007164AE"/>
    <w:rsid w:val="00716774"/>
    <w:rsid w:val="00716905"/>
    <w:rsid w:val="00716DFD"/>
    <w:rsid w:val="00716ED1"/>
    <w:rsid w:val="0071702A"/>
    <w:rsid w:val="0071745B"/>
    <w:rsid w:val="007175AA"/>
    <w:rsid w:val="00717607"/>
    <w:rsid w:val="007176DE"/>
    <w:rsid w:val="00717744"/>
    <w:rsid w:val="0071783E"/>
    <w:rsid w:val="00717897"/>
    <w:rsid w:val="00717E58"/>
    <w:rsid w:val="00717F8F"/>
    <w:rsid w:val="007200CE"/>
    <w:rsid w:val="007201CC"/>
    <w:rsid w:val="007201DC"/>
    <w:rsid w:val="007201FD"/>
    <w:rsid w:val="0072036A"/>
    <w:rsid w:val="007203BC"/>
    <w:rsid w:val="007203D2"/>
    <w:rsid w:val="00720413"/>
    <w:rsid w:val="007207B0"/>
    <w:rsid w:val="00720973"/>
    <w:rsid w:val="00720CC6"/>
    <w:rsid w:val="00720D67"/>
    <w:rsid w:val="00720EA6"/>
    <w:rsid w:val="00720F72"/>
    <w:rsid w:val="007211E7"/>
    <w:rsid w:val="00721277"/>
    <w:rsid w:val="0072128F"/>
    <w:rsid w:val="0072143A"/>
    <w:rsid w:val="007216A7"/>
    <w:rsid w:val="00721735"/>
    <w:rsid w:val="00721867"/>
    <w:rsid w:val="0072193A"/>
    <w:rsid w:val="00721AD6"/>
    <w:rsid w:val="00721B29"/>
    <w:rsid w:val="00721B40"/>
    <w:rsid w:val="00721BCF"/>
    <w:rsid w:val="00721D75"/>
    <w:rsid w:val="00721D82"/>
    <w:rsid w:val="00721DD8"/>
    <w:rsid w:val="00721DDA"/>
    <w:rsid w:val="00721E1A"/>
    <w:rsid w:val="00721E4A"/>
    <w:rsid w:val="00721FD5"/>
    <w:rsid w:val="007224D6"/>
    <w:rsid w:val="0072270A"/>
    <w:rsid w:val="00722992"/>
    <w:rsid w:val="00722ACF"/>
    <w:rsid w:val="00722BF9"/>
    <w:rsid w:val="00722DA0"/>
    <w:rsid w:val="00722EB3"/>
    <w:rsid w:val="00722F8B"/>
    <w:rsid w:val="00722FEC"/>
    <w:rsid w:val="00723178"/>
    <w:rsid w:val="0072345F"/>
    <w:rsid w:val="007237E6"/>
    <w:rsid w:val="00723821"/>
    <w:rsid w:val="00723B2F"/>
    <w:rsid w:val="00723CCA"/>
    <w:rsid w:val="00723CD4"/>
    <w:rsid w:val="00723E87"/>
    <w:rsid w:val="00723F1C"/>
    <w:rsid w:val="00724290"/>
    <w:rsid w:val="007242F4"/>
    <w:rsid w:val="00724393"/>
    <w:rsid w:val="00724639"/>
    <w:rsid w:val="0072472D"/>
    <w:rsid w:val="00724771"/>
    <w:rsid w:val="00724C03"/>
    <w:rsid w:val="00724D4E"/>
    <w:rsid w:val="00724FDD"/>
    <w:rsid w:val="00725005"/>
    <w:rsid w:val="00725120"/>
    <w:rsid w:val="00725478"/>
    <w:rsid w:val="0072548D"/>
    <w:rsid w:val="0072549B"/>
    <w:rsid w:val="007254B5"/>
    <w:rsid w:val="00725A15"/>
    <w:rsid w:val="00725A33"/>
    <w:rsid w:val="00725F15"/>
    <w:rsid w:val="007261BA"/>
    <w:rsid w:val="007266D2"/>
    <w:rsid w:val="007267D3"/>
    <w:rsid w:val="00726889"/>
    <w:rsid w:val="00726895"/>
    <w:rsid w:val="00726A12"/>
    <w:rsid w:val="00726A4F"/>
    <w:rsid w:val="00726BC1"/>
    <w:rsid w:val="00726D19"/>
    <w:rsid w:val="00726D4F"/>
    <w:rsid w:val="00726DBA"/>
    <w:rsid w:val="00726E71"/>
    <w:rsid w:val="00726E9F"/>
    <w:rsid w:val="00726EAD"/>
    <w:rsid w:val="00726FCC"/>
    <w:rsid w:val="00727021"/>
    <w:rsid w:val="007272DC"/>
    <w:rsid w:val="00727590"/>
    <w:rsid w:val="0072781F"/>
    <w:rsid w:val="00727A69"/>
    <w:rsid w:val="00727C3A"/>
    <w:rsid w:val="00727CE1"/>
    <w:rsid w:val="00727D77"/>
    <w:rsid w:val="00727F79"/>
    <w:rsid w:val="00730093"/>
    <w:rsid w:val="007300C6"/>
    <w:rsid w:val="007301F8"/>
    <w:rsid w:val="0073034C"/>
    <w:rsid w:val="0073040A"/>
    <w:rsid w:val="00730743"/>
    <w:rsid w:val="00730887"/>
    <w:rsid w:val="007308E1"/>
    <w:rsid w:val="00730A87"/>
    <w:rsid w:val="00730B5B"/>
    <w:rsid w:val="00730C3B"/>
    <w:rsid w:val="00730CB7"/>
    <w:rsid w:val="00730CCF"/>
    <w:rsid w:val="00730CFD"/>
    <w:rsid w:val="00730D3A"/>
    <w:rsid w:val="00730DB4"/>
    <w:rsid w:val="00730E9E"/>
    <w:rsid w:val="00730FE3"/>
    <w:rsid w:val="007310B8"/>
    <w:rsid w:val="007311B3"/>
    <w:rsid w:val="00731304"/>
    <w:rsid w:val="00731472"/>
    <w:rsid w:val="0073147D"/>
    <w:rsid w:val="00731580"/>
    <w:rsid w:val="00731679"/>
    <w:rsid w:val="007317C5"/>
    <w:rsid w:val="007319BE"/>
    <w:rsid w:val="007319CA"/>
    <w:rsid w:val="00731B08"/>
    <w:rsid w:val="00731B1F"/>
    <w:rsid w:val="00731E1E"/>
    <w:rsid w:val="00731E59"/>
    <w:rsid w:val="00731FAD"/>
    <w:rsid w:val="007320ED"/>
    <w:rsid w:val="007322B4"/>
    <w:rsid w:val="0073246C"/>
    <w:rsid w:val="007324FC"/>
    <w:rsid w:val="0073282E"/>
    <w:rsid w:val="007329EF"/>
    <w:rsid w:val="00732AAC"/>
    <w:rsid w:val="007330CF"/>
    <w:rsid w:val="00733183"/>
    <w:rsid w:val="00733305"/>
    <w:rsid w:val="00733374"/>
    <w:rsid w:val="00733412"/>
    <w:rsid w:val="00733554"/>
    <w:rsid w:val="007335BA"/>
    <w:rsid w:val="007335F2"/>
    <w:rsid w:val="0073373A"/>
    <w:rsid w:val="00733823"/>
    <w:rsid w:val="00733838"/>
    <w:rsid w:val="007338EF"/>
    <w:rsid w:val="00733B9F"/>
    <w:rsid w:val="00733C3F"/>
    <w:rsid w:val="00733D6A"/>
    <w:rsid w:val="00733DF8"/>
    <w:rsid w:val="0073404D"/>
    <w:rsid w:val="007340DC"/>
    <w:rsid w:val="00734119"/>
    <w:rsid w:val="007346EA"/>
    <w:rsid w:val="007347DE"/>
    <w:rsid w:val="007347EB"/>
    <w:rsid w:val="00734955"/>
    <w:rsid w:val="00734AB6"/>
    <w:rsid w:val="00734D91"/>
    <w:rsid w:val="00734DC5"/>
    <w:rsid w:val="00734E3B"/>
    <w:rsid w:val="00734ECF"/>
    <w:rsid w:val="00734EE6"/>
    <w:rsid w:val="00734FD1"/>
    <w:rsid w:val="00734FDE"/>
    <w:rsid w:val="0073506C"/>
    <w:rsid w:val="00735167"/>
    <w:rsid w:val="007352E4"/>
    <w:rsid w:val="007355BF"/>
    <w:rsid w:val="007355D6"/>
    <w:rsid w:val="0073577E"/>
    <w:rsid w:val="0073583D"/>
    <w:rsid w:val="00735877"/>
    <w:rsid w:val="007359DE"/>
    <w:rsid w:val="00735A64"/>
    <w:rsid w:val="00735AA0"/>
    <w:rsid w:val="00735B8A"/>
    <w:rsid w:val="00735C96"/>
    <w:rsid w:val="00735D00"/>
    <w:rsid w:val="00735D0A"/>
    <w:rsid w:val="00735E10"/>
    <w:rsid w:val="00735E2E"/>
    <w:rsid w:val="00735F7A"/>
    <w:rsid w:val="00736116"/>
    <w:rsid w:val="0073630B"/>
    <w:rsid w:val="007363BB"/>
    <w:rsid w:val="00736600"/>
    <w:rsid w:val="00736724"/>
    <w:rsid w:val="00736A0F"/>
    <w:rsid w:val="00736BBF"/>
    <w:rsid w:val="00736EAD"/>
    <w:rsid w:val="00736FF0"/>
    <w:rsid w:val="0073710A"/>
    <w:rsid w:val="007371AF"/>
    <w:rsid w:val="0073725C"/>
    <w:rsid w:val="007372E9"/>
    <w:rsid w:val="007374F6"/>
    <w:rsid w:val="007375AD"/>
    <w:rsid w:val="0073767F"/>
    <w:rsid w:val="00737736"/>
    <w:rsid w:val="0073775C"/>
    <w:rsid w:val="007377E8"/>
    <w:rsid w:val="00737C5E"/>
    <w:rsid w:val="00737C5F"/>
    <w:rsid w:val="00737D58"/>
    <w:rsid w:val="00737DFC"/>
    <w:rsid w:val="00737E22"/>
    <w:rsid w:val="0074010F"/>
    <w:rsid w:val="007401EC"/>
    <w:rsid w:val="00740274"/>
    <w:rsid w:val="0074030E"/>
    <w:rsid w:val="007403BA"/>
    <w:rsid w:val="0074053A"/>
    <w:rsid w:val="00740722"/>
    <w:rsid w:val="007407E1"/>
    <w:rsid w:val="007409D3"/>
    <w:rsid w:val="00740A1E"/>
    <w:rsid w:val="00740BA8"/>
    <w:rsid w:val="00740C27"/>
    <w:rsid w:val="00740D8E"/>
    <w:rsid w:val="00740DF4"/>
    <w:rsid w:val="00740F37"/>
    <w:rsid w:val="007410D2"/>
    <w:rsid w:val="00741132"/>
    <w:rsid w:val="007411AD"/>
    <w:rsid w:val="00741211"/>
    <w:rsid w:val="00741370"/>
    <w:rsid w:val="0074138A"/>
    <w:rsid w:val="00741393"/>
    <w:rsid w:val="007413BF"/>
    <w:rsid w:val="007413C8"/>
    <w:rsid w:val="0074144E"/>
    <w:rsid w:val="007414BA"/>
    <w:rsid w:val="00741745"/>
    <w:rsid w:val="0074180E"/>
    <w:rsid w:val="00741889"/>
    <w:rsid w:val="00741E65"/>
    <w:rsid w:val="00741E6C"/>
    <w:rsid w:val="00741F52"/>
    <w:rsid w:val="00741F86"/>
    <w:rsid w:val="007420B6"/>
    <w:rsid w:val="0074218F"/>
    <w:rsid w:val="00742196"/>
    <w:rsid w:val="0074226C"/>
    <w:rsid w:val="007423BD"/>
    <w:rsid w:val="007424BB"/>
    <w:rsid w:val="00742798"/>
    <w:rsid w:val="0074279F"/>
    <w:rsid w:val="007427D1"/>
    <w:rsid w:val="007427FD"/>
    <w:rsid w:val="007428F1"/>
    <w:rsid w:val="00742A72"/>
    <w:rsid w:val="00742AE9"/>
    <w:rsid w:val="00742C2B"/>
    <w:rsid w:val="00742C6B"/>
    <w:rsid w:val="00742DD9"/>
    <w:rsid w:val="00742FCC"/>
    <w:rsid w:val="00743098"/>
    <w:rsid w:val="00743297"/>
    <w:rsid w:val="0074332B"/>
    <w:rsid w:val="00743443"/>
    <w:rsid w:val="0074349C"/>
    <w:rsid w:val="007434BB"/>
    <w:rsid w:val="007434C1"/>
    <w:rsid w:val="007435B7"/>
    <w:rsid w:val="0074381A"/>
    <w:rsid w:val="007438ED"/>
    <w:rsid w:val="0074390D"/>
    <w:rsid w:val="00743C4F"/>
    <w:rsid w:val="00743D1C"/>
    <w:rsid w:val="00743D46"/>
    <w:rsid w:val="00743E20"/>
    <w:rsid w:val="00744011"/>
    <w:rsid w:val="0074412A"/>
    <w:rsid w:val="007441C0"/>
    <w:rsid w:val="007442B5"/>
    <w:rsid w:val="00744357"/>
    <w:rsid w:val="007444A0"/>
    <w:rsid w:val="0074455A"/>
    <w:rsid w:val="007445E7"/>
    <w:rsid w:val="0074467D"/>
    <w:rsid w:val="00744780"/>
    <w:rsid w:val="007447E8"/>
    <w:rsid w:val="007448CF"/>
    <w:rsid w:val="00744911"/>
    <w:rsid w:val="00744A2F"/>
    <w:rsid w:val="00744A4D"/>
    <w:rsid w:val="00744B8A"/>
    <w:rsid w:val="00744D5A"/>
    <w:rsid w:val="00744D63"/>
    <w:rsid w:val="00744FA2"/>
    <w:rsid w:val="00744FDD"/>
    <w:rsid w:val="00744FEC"/>
    <w:rsid w:val="007451FD"/>
    <w:rsid w:val="0074536D"/>
    <w:rsid w:val="0074568A"/>
    <w:rsid w:val="0074576C"/>
    <w:rsid w:val="00745852"/>
    <w:rsid w:val="0074589D"/>
    <w:rsid w:val="007458A9"/>
    <w:rsid w:val="00745944"/>
    <w:rsid w:val="00745A56"/>
    <w:rsid w:val="00745AB2"/>
    <w:rsid w:val="00745ABF"/>
    <w:rsid w:val="00745CC8"/>
    <w:rsid w:val="00745CF9"/>
    <w:rsid w:val="00745D0E"/>
    <w:rsid w:val="00745E89"/>
    <w:rsid w:val="00745F2B"/>
    <w:rsid w:val="00745FA7"/>
    <w:rsid w:val="0074611B"/>
    <w:rsid w:val="00746158"/>
    <w:rsid w:val="0074616F"/>
    <w:rsid w:val="0074621D"/>
    <w:rsid w:val="00746417"/>
    <w:rsid w:val="00746420"/>
    <w:rsid w:val="007465A2"/>
    <w:rsid w:val="0074698F"/>
    <w:rsid w:val="007469C0"/>
    <w:rsid w:val="00746A20"/>
    <w:rsid w:val="00746B90"/>
    <w:rsid w:val="00746C4C"/>
    <w:rsid w:val="00746D2A"/>
    <w:rsid w:val="00746D52"/>
    <w:rsid w:val="00746D98"/>
    <w:rsid w:val="00746DE0"/>
    <w:rsid w:val="00746EC5"/>
    <w:rsid w:val="00746F04"/>
    <w:rsid w:val="00746F2E"/>
    <w:rsid w:val="00746FEB"/>
    <w:rsid w:val="007470F7"/>
    <w:rsid w:val="007471D1"/>
    <w:rsid w:val="0074722C"/>
    <w:rsid w:val="00747299"/>
    <w:rsid w:val="007472AB"/>
    <w:rsid w:val="007472DD"/>
    <w:rsid w:val="0074730D"/>
    <w:rsid w:val="0074758D"/>
    <w:rsid w:val="00747600"/>
    <w:rsid w:val="00747777"/>
    <w:rsid w:val="0074783C"/>
    <w:rsid w:val="00747A9C"/>
    <w:rsid w:val="00747AD0"/>
    <w:rsid w:val="00747E80"/>
    <w:rsid w:val="0075005F"/>
    <w:rsid w:val="007500EE"/>
    <w:rsid w:val="00750126"/>
    <w:rsid w:val="00750170"/>
    <w:rsid w:val="007503B2"/>
    <w:rsid w:val="007503DE"/>
    <w:rsid w:val="00750415"/>
    <w:rsid w:val="00750428"/>
    <w:rsid w:val="0075050D"/>
    <w:rsid w:val="0075054B"/>
    <w:rsid w:val="007505C9"/>
    <w:rsid w:val="007507F3"/>
    <w:rsid w:val="00750976"/>
    <w:rsid w:val="00750AC2"/>
    <w:rsid w:val="00750C56"/>
    <w:rsid w:val="00750DC2"/>
    <w:rsid w:val="00750E80"/>
    <w:rsid w:val="00751014"/>
    <w:rsid w:val="0075101E"/>
    <w:rsid w:val="00751145"/>
    <w:rsid w:val="00751176"/>
    <w:rsid w:val="007511EE"/>
    <w:rsid w:val="007512DE"/>
    <w:rsid w:val="00751329"/>
    <w:rsid w:val="007513A0"/>
    <w:rsid w:val="007513DB"/>
    <w:rsid w:val="007514EA"/>
    <w:rsid w:val="0075151C"/>
    <w:rsid w:val="007515DE"/>
    <w:rsid w:val="0075179F"/>
    <w:rsid w:val="00751CBC"/>
    <w:rsid w:val="00751D2E"/>
    <w:rsid w:val="00751DA4"/>
    <w:rsid w:val="00751E5F"/>
    <w:rsid w:val="00751E8C"/>
    <w:rsid w:val="0075231C"/>
    <w:rsid w:val="0075237A"/>
    <w:rsid w:val="0075255B"/>
    <w:rsid w:val="00752793"/>
    <w:rsid w:val="00752798"/>
    <w:rsid w:val="007527B7"/>
    <w:rsid w:val="007527E2"/>
    <w:rsid w:val="00752A0B"/>
    <w:rsid w:val="00752B4F"/>
    <w:rsid w:val="00752C62"/>
    <w:rsid w:val="00752E6A"/>
    <w:rsid w:val="00752E8A"/>
    <w:rsid w:val="00752F11"/>
    <w:rsid w:val="0075306D"/>
    <w:rsid w:val="00753131"/>
    <w:rsid w:val="00753182"/>
    <w:rsid w:val="007531C4"/>
    <w:rsid w:val="0075346F"/>
    <w:rsid w:val="00753523"/>
    <w:rsid w:val="007535F3"/>
    <w:rsid w:val="00753726"/>
    <w:rsid w:val="00753A3F"/>
    <w:rsid w:val="00753AFD"/>
    <w:rsid w:val="00753B73"/>
    <w:rsid w:val="00753C7E"/>
    <w:rsid w:val="00753DFA"/>
    <w:rsid w:val="00754480"/>
    <w:rsid w:val="00754547"/>
    <w:rsid w:val="0075473C"/>
    <w:rsid w:val="0075474B"/>
    <w:rsid w:val="007547C8"/>
    <w:rsid w:val="00754A18"/>
    <w:rsid w:val="00754A78"/>
    <w:rsid w:val="00754C9F"/>
    <w:rsid w:val="00754D16"/>
    <w:rsid w:val="00754E71"/>
    <w:rsid w:val="00755075"/>
    <w:rsid w:val="00755102"/>
    <w:rsid w:val="0075514E"/>
    <w:rsid w:val="0075534B"/>
    <w:rsid w:val="0075560C"/>
    <w:rsid w:val="007557CB"/>
    <w:rsid w:val="00755829"/>
    <w:rsid w:val="007558F4"/>
    <w:rsid w:val="0075590C"/>
    <w:rsid w:val="0075597F"/>
    <w:rsid w:val="007559ED"/>
    <w:rsid w:val="00755AE7"/>
    <w:rsid w:val="00755B54"/>
    <w:rsid w:val="00755BB1"/>
    <w:rsid w:val="00755C60"/>
    <w:rsid w:val="00755C96"/>
    <w:rsid w:val="00755E7D"/>
    <w:rsid w:val="00755F71"/>
    <w:rsid w:val="007560F9"/>
    <w:rsid w:val="00756202"/>
    <w:rsid w:val="00756206"/>
    <w:rsid w:val="0075646C"/>
    <w:rsid w:val="00756562"/>
    <w:rsid w:val="00756567"/>
    <w:rsid w:val="00756652"/>
    <w:rsid w:val="00756CBF"/>
    <w:rsid w:val="007570BC"/>
    <w:rsid w:val="007570C3"/>
    <w:rsid w:val="0075723A"/>
    <w:rsid w:val="0075756B"/>
    <w:rsid w:val="007576FF"/>
    <w:rsid w:val="0075777D"/>
    <w:rsid w:val="00757873"/>
    <w:rsid w:val="0075788D"/>
    <w:rsid w:val="00757D9A"/>
    <w:rsid w:val="00757E14"/>
    <w:rsid w:val="00757E66"/>
    <w:rsid w:val="00760225"/>
    <w:rsid w:val="00760370"/>
    <w:rsid w:val="0076048D"/>
    <w:rsid w:val="00760774"/>
    <w:rsid w:val="007608DC"/>
    <w:rsid w:val="0076090E"/>
    <w:rsid w:val="007609FB"/>
    <w:rsid w:val="00760A26"/>
    <w:rsid w:val="00760A7B"/>
    <w:rsid w:val="00760B29"/>
    <w:rsid w:val="00760BB8"/>
    <w:rsid w:val="00760BB9"/>
    <w:rsid w:val="00760BF8"/>
    <w:rsid w:val="00760C7E"/>
    <w:rsid w:val="00760EAE"/>
    <w:rsid w:val="00760F23"/>
    <w:rsid w:val="007611D6"/>
    <w:rsid w:val="00761445"/>
    <w:rsid w:val="00761496"/>
    <w:rsid w:val="00761520"/>
    <w:rsid w:val="007615BF"/>
    <w:rsid w:val="007615F5"/>
    <w:rsid w:val="007617A1"/>
    <w:rsid w:val="007618F4"/>
    <w:rsid w:val="00761927"/>
    <w:rsid w:val="00761A7D"/>
    <w:rsid w:val="00761ACE"/>
    <w:rsid w:val="00761B14"/>
    <w:rsid w:val="00761BF9"/>
    <w:rsid w:val="0076211F"/>
    <w:rsid w:val="0076213E"/>
    <w:rsid w:val="0076216E"/>
    <w:rsid w:val="0076233B"/>
    <w:rsid w:val="00762350"/>
    <w:rsid w:val="00762377"/>
    <w:rsid w:val="007624BC"/>
    <w:rsid w:val="00762558"/>
    <w:rsid w:val="00762792"/>
    <w:rsid w:val="007628FC"/>
    <w:rsid w:val="00762902"/>
    <w:rsid w:val="00762903"/>
    <w:rsid w:val="0076294F"/>
    <w:rsid w:val="007629CA"/>
    <w:rsid w:val="00762B2C"/>
    <w:rsid w:val="00762D6D"/>
    <w:rsid w:val="00762DC7"/>
    <w:rsid w:val="00762ED1"/>
    <w:rsid w:val="00762F56"/>
    <w:rsid w:val="00763038"/>
    <w:rsid w:val="00763155"/>
    <w:rsid w:val="00763208"/>
    <w:rsid w:val="00763232"/>
    <w:rsid w:val="00763236"/>
    <w:rsid w:val="0076329A"/>
    <w:rsid w:val="007635AF"/>
    <w:rsid w:val="007635E2"/>
    <w:rsid w:val="007635E3"/>
    <w:rsid w:val="007637B4"/>
    <w:rsid w:val="007637D5"/>
    <w:rsid w:val="007638ED"/>
    <w:rsid w:val="00763908"/>
    <w:rsid w:val="007639C5"/>
    <w:rsid w:val="00763A42"/>
    <w:rsid w:val="00763C73"/>
    <w:rsid w:val="00763DD4"/>
    <w:rsid w:val="00763EC8"/>
    <w:rsid w:val="00763F2B"/>
    <w:rsid w:val="00764096"/>
    <w:rsid w:val="007640BB"/>
    <w:rsid w:val="00764107"/>
    <w:rsid w:val="0076412B"/>
    <w:rsid w:val="00764147"/>
    <w:rsid w:val="007643FD"/>
    <w:rsid w:val="0076443A"/>
    <w:rsid w:val="00764482"/>
    <w:rsid w:val="007645AB"/>
    <w:rsid w:val="007647D6"/>
    <w:rsid w:val="0076480D"/>
    <w:rsid w:val="007649D7"/>
    <w:rsid w:val="00764A64"/>
    <w:rsid w:val="00764B80"/>
    <w:rsid w:val="00764F9D"/>
    <w:rsid w:val="0076517B"/>
    <w:rsid w:val="0076521A"/>
    <w:rsid w:val="007652D8"/>
    <w:rsid w:val="0076536C"/>
    <w:rsid w:val="0076537B"/>
    <w:rsid w:val="0076561F"/>
    <w:rsid w:val="007656F9"/>
    <w:rsid w:val="00765894"/>
    <w:rsid w:val="00765A34"/>
    <w:rsid w:val="00765FE7"/>
    <w:rsid w:val="00766061"/>
    <w:rsid w:val="007660AB"/>
    <w:rsid w:val="007660E8"/>
    <w:rsid w:val="007661B8"/>
    <w:rsid w:val="0076633B"/>
    <w:rsid w:val="007663CE"/>
    <w:rsid w:val="00766532"/>
    <w:rsid w:val="00766661"/>
    <w:rsid w:val="00766756"/>
    <w:rsid w:val="00766763"/>
    <w:rsid w:val="00766804"/>
    <w:rsid w:val="00766822"/>
    <w:rsid w:val="00766846"/>
    <w:rsid w:val="00766855"/>
    <w:rsid w:val="00766951"/>
    <w:rsid w:val="00766BD1"/>
    <w:rsid w:val="00766BEF"/>
    <w:rsid w:val="00766DB9"/>
    <w:rsid w:val="00766DC4"/>
    <w:rsid w:val="00767128"/>
    <w:rsid w:val="007675F5"/>
    <w:rsid w:val="0076760A"/>
    <w:rsid w:val="007677E3"/>
    <w:rsid w:val="007678C2"/>
    <w:rsid w:val="0076796B"/>
    <w:rsid w:val="007679B8"/>
    <w:rsid w:val="00767A66"/>
    <w:rsid w:val="00770036"/>
    <w:rsid w:val="00770113"/>
    <w:rsid w:val="0077026C"/>
    <w:rsid w:val="007702FD"/>
    <w:rsid w:val="00770502"/>
    <w:rsid w:val="0077057F"/>
    <w:rsid w:val="007707EE"/>
    <w:rsid w:val="00770AEF"/>
    <w:rsid w:val="00770D16"/>
    <w:rsid w:val="00770EF3"/>
    <w:rsid w:val="00770F57"/>
    <w:rsid w:val="00771165"/>
    <w:rsid w:val="0077124F"/>
    <w:rsid w:val="007714A8"/>
    <w:rsid w:val="0077155E"/>
    <w:rsid w:val="007715A8"/>
    <w:rsid w:val="00771A4F"/>
    <w:rsid w:val="00771BE2"/>
    <w:rsid w:val="00771D30"/>
    <w:rsid w:val="00771D81"/>
    <w:rsid w:val="00771DE9"/>
    <w:rsid w:val="00771E49"/>
    <w:rsid w:val="00771F5B"/>
    <w:rsid w:val="00771FD4"/>
    <w:rsid w:val="007723F0"/>
    <w:rsid w:val="00772548"/>
    <w:rsid w:val="00772668"/>
    <w:rsid w:val="0077267D"/>
    <w:rsid w:val="00772690"/>
    <w:rsid w:val="007726C0"/>
    <w:rsid w:val="00772A71"/>
    <w:rsid w:val="00772A9C"/>
    <w:rsid w:val="00772B72"/>
    <w:rsid w:val="00772E35"/>
    <w:rsid w:val="00772E88"/>
    <w:rsid w:val="00772F54"/>
    <w:rsid w:val="00773131"/>
    <w:rsid w:val="0077317F"/>
    <w:rsid w:val="007731DF"/>
    <w:rsid w:val="00773407"/>
    <w:rsid w:val="0077374D"/>
    <w:rsid w:val="007737E8"/>
    <w:rsid w:val="00773C11"/>
    <w:rsid w:val="00773C3B"/>
    <w:rsid w:val="00773CA1"/>
    <w:rsid w:val="00773E1C"/>
    <w:rsid w:val="00773F08"/>
    <w:rsid w:val="00773F42"/>
    <w:rsid w:val="00773FC7"/>
    <w:rsid w:val="007740AB"/>
    <w:rsid w:val="007740ED"/>
    <w:rsid w:val="007740F0"/>
    <w:rsid w:val="00774125"/>
    <w:rsid w:val="00774385"/>
    <w:rsid w:val="007743DF"/>
    <w:rsid w:val="007745A2"/>
    <w:rsid w:val="00774654"/>
    <w:rsid w:val="007748E1"/>
    <w:rsid w:val="00774CB1"/>
    <w:rsid w:val="00774D96"/>
    <w:rsid w:val="00774E9B"/>
    <w:rsid w:val="00774F11"/>
    <w:rsid w:val="0077522B"/>
    <w:rsid w:val="0077524F"/>
    <w:rsid w:val="00775276"/>
    <w:rsid w:val="00775600"/>
    <w:rsid w:val="00775652"/>
    <w:rsid w:val="0077571F"/>
    <w:rsid w:val="007757C2"/>
    <w:rsid w:val="00775975"/>
    <w:rsid w:val="00775A58"/>
    <w:rsid w:val="00775DD9"/>
    <w:rsid w:val="00775E51"/>
    <w:rsid w:val="00776009"/>
    <w:rsid w:val="0077633A"/>
    <w:rsid w:val="00776421"/>
    <w:rsid w:val="007764B0"/>
    <w:rsid w:val="007764EA"/>
    <w:rsid w:val="0077666C"/>
    <w:rsid w:val="007767E0"/>
    <w:rsid w:val="0077689D"/>
    <w:rsid w:val="007768A0"/>
    <w:rsid w:val="00776918"/>
    <w:rsid w:val="00776C51"/>
    <w:rsid w:val="00776D3C"/>
    <w:rsid w:val="00776E59"/>
    <w:rsid w:val="00776E6A"/>
    <w:rsid w:val="0077729F"/>
    <w:rsid w:val="00777360"/>
    <w:rsid w:val="00777581"/>
    <w:rsid w:val="00777995"/>
    <w:rsid w:val="00777A26"/>
    <w:rsid w:val="00777B8C"/>
    <w:rsid w:val="00777BE2"/>
    <w:rsid w:val="00777CE5"/>
    <w:rsid w:val="00777D06"/>
    <w:rsid w:val="00777EE2"/>
    <w:rsid w:val="00780068"/>
    <w:rsid w:val="0078022A"/>
    <w:rsid w:val="00780249"/>
    <w:rsid w:val="007803E2"/>
    <w:rsid w:val="00780552"/>
    <w:rsid w:val="007805B2"/>
    <w:rsid w:val="007805E5"/>
    <w:rsid w:val="00780776"/>
    <w:rsid w:val="00780874"/>
    <w:rsid w:val="00780921"/>
    <w:rsid w:val="00780978"/>
    <w:rsid w:val="00780AB9"/>
    <w:rsid w:val="00780B95"/>
    <w:rsid w:val="00780C22"/>
    <w:rsid w:val="00780C73"/>
    <w:rsid w:val="00780E58"/>
    <w:rsid w:val="00780F78"/>
    <w:rsid w:val="0078112A"/>
    <w:rsid w:val="007811AE"/>
    <w:rsid w:val="00781215"/>
    <w:rsid w:val="00781226"/>
    <w:rsid w:val="00781265"/>
    <w:rsid w:val="0078171B"/>
    <w:rsid w:val="007818F5"/>
    <w:rsid w:val="00781CF1"/>
    <w:rsid w:val="00781D6B"/>
    <w:rsid w:val="00781DBA"/>
    <w:rsid w:val="00781E8C"/>
    <w:rsid w:val="00781E92"/>
    <w:rsid w:val="00781EE6"/>
    <w:rsid w:val="00782009"/>
    <w:rsid w:val="00782271"/>
    <w:rsid w:val="0078260E"/>
    <w:rsid w:val="0078276E"/>
    <w:rsid w:val="00782770"/>
    <w:rsid w:val="00782848"/>
    <w:rsid w:val="00782864"/>
    <w:rsid w:val="00782BEF"/>
    <w:rsid w:val="00782DB7"/>
    <w:rsid w:val="00782E2E"/>
    <w:rsid w:val="007830FE"/>
    <w:rsid w:val="0078332E"/>
    <w:rsid w:val="007835AD"/>
    <w:rsid w:val="007837FC"/>
    <w:rsid w:val="00783AF3"/>
    <w:rsid w:val="00783DA3"/>
    <w:rsid w:val="00783E57"/>
    <w:rsid w:val="00783EC3"/>
    <w:rsid w:val="007842D5"/>
    <w:rsid w:val="007842E1"/>
    <w:rsid w:val="007843A7"/>
    <w:rsid w:val="007844FE"/>
    <w:rsid w:val="00784510"/>
    <w:rsid w:val="007846A5"/>
    <w:rsid w:val="0078481C"/>
    <w:rsid w:val="00784940"/>
    <w:rsid w:val="00784956"/>
    <w:rsid w:val="00784A42"/>
    <w:rsid w:val="00784D09"/>
    <w:rsid w:val="00784E67"/>
    <w:rsid w:val="00784EB4"/>
    <w:rsid w:val="00784FFA"/>
    <w:rsid w:val="00785186"/>
    <w:rsid w:val="00785187"/>
    <w:rsid w:val="0078519F"/>
    <w:rsid w:val="00785276"/>
    <w:rsid w:val="007852F0"/>
    <w:rsid w:val="0078532E"/>
    <w:rsid w:val="00785433"/>
    <w:rsid w:val="007855B9"/>
    <w:rsid w:val="007855FE"/>
    <w:rsid w:val="00785624"/>
    <w:rsid w:val="00785742"/>
    <w:rsid w:val="00785751"/>
    <w:rsid w:val="00785A0B"/>
    <w:rsid w:val="00785B60"/>
    <w:rsid w:val="00785C89"/>
    <w:rsid w:val="00785D51"/>
    <w:rsid w:val="00785D5D"/>
    <w:rsid w:val="00785F39"/>
    <w:rsid w:val="00786194"/>
    <w:rsid w:val="007862BE"/>
    <w:rsid w:val="00786389"/>
    <w:rsid w:val="0078646D"/>
    <w:rsid w:val="0078647B"/>
    <w:rsid w:val="007864BA"/>
    <w:rsid w:val="00786677"/>
    <w:rsid w:val="0078685C"/>
    <w:rsid w:val="007868B0"/>
    <w:rsid w:val="00786921"/>
    <w:rsid w:val="0078692A"/>
    <w:rsid w:val="00786978"/>
    <w:rsid w:val="00786AE8"/>
    <w:rsid w:val="00786B54"/>
    <w:rsid w:val="00786B61"/>
    <w:rsid w:val="00786C84"/>
    <w:rsid w:val="00787011"/>
    <w:rsid w:val="0078701D"/>
    <w:rsid w:val="007870F6"/>
    <w:rsid w:val="00787127"/>
    <w:rsid w:val="00787324"/>
    <w:rsid w:val="007873AC"/>
    <w:rsid w:val="00787750"/>
    <w:rsid w:val="00787771"/>
    <w:rsid w:val="00787939"/>
    <w:rsid w:val="007879CF"/>
    <w:rsid w:val="007879E3"/>
    <w:rsid w:val="00787A77"/>
    <w:rsid w:val="00787AA7"/>
    <w:rsid w:val="00787B4F"/>
    <w:rsid w:val="00787B95"/>
    <w:rsid w:val="00787C65"/>
    <w:rsid w:val="00787D55"/>
    <w:rsid w:val="007900B9"/>
    <w:rsid w:val="00790109"/>
    <w:rsid w:val="0079015D"/>
    <w:rsid w:val="007904FA"/>
    <w:rsid w:val="0079050F"/>
    <w:rsid w:val="0079089C"/>
    <w:rsid w:val="00790ACC"/>
    <w:rsid w:val="00790AE7"/>
    <w:rsid w:val="00790C7B"/>
    <w:rsid w:val="00791221"/>
    <w:rsid w:val="00791269"/>
    <w:rsid w:val="007912F7"/>
    <w:rsid w:val="0079133D"/>
    <w:rsid w:val="007913EF"/>
    <w:rsid w:val="00791501"/>
    <w:rsid w:val="00791656"/>
    <w:rsid w:val="007916C4"/>
    <w:rsid w:val="00791778"/>
    <w:rsid w:val="00791A98"/>
    <w:rsid w:val="00791AA3"/>
    <w:rsid w:val="00791AAA"/>
    <w:rsid w:val="00791B73"/>
    <w:rsid w:val="00791BD5"/>
    <w:rsid w:val="00791C4D"/>
    <w:rsid w:val="00791CDE"/>
    <w:rsid w:val="00791D0E"/>
    <w:rsid w:val="00791D17"/>
    <w:rsid w:val="0079217A"/>
    <w:rsid w:val="0079227E"/>
    <w:rsid w:val="00792282"/>
    <w:rsid w:val="0079242B"/>
    <w:rsid w:val="00792439"/>
    <w:rsid w:val="007924F5"/>
    <w:rsid w:val="0079253E"/>
    <w:rsid w:val="00792749"/>
    <w:rsid w:val="0079288C"/>
    <w:rsid w:val="00792A84"/>
    <w:rsid w:val="00792B09"/>
    <w:rsid w:val="00792BD8"/>
    <w:rsid w:val="00792C11"/>
    <w:rsid w:val="00792C55"/>
    <w:rsid w:val="00792C5E"/>
    <w:rsid w:val="00792DEC"/>
    <w:rsid w:val="00792F29"/>
    <w:rsid w:val="007930EE"/>
    <w:rsid w:val="00793597"/>
    <w:rsid w:val="007936D1"/>
    <w:rsid w:val="0079380A"/>
    <w:rsid w:val="00793980"/>
    <w:rsid w:val="00793A50"/>
    <w:rsid w:val="00793DB0"/>
    <w:rsid w:val="00793DD6"/>
    <w:rsid w:val="00793F0F"/>
    <w:rsid w:val="00794347"/>
    <w:rsid w:val="0079444B"/>
    <w:rsid w:val="00794590"/>
    <w:rsid w:val="00794661"/>
    <w:rsid w:val="007946EC"/>
    <w:rsid w:val="00794AE0"/>
    <w:rsid w:val="00794AF5"/>
    <w:rsid w:val="00794C47"/>
    <w:rsid w:val="00794E4A"/>
    <w:rsid w:val="00794E59"/>
    <w:rsid w:val="0079507D"/>
    <w:rsid w:val="0079542E"/>
    <w:rsid w:val="00795453"/>
    <w:rsid w:val="0079561C"/>
    <w:rsid w:val="00795757"/>
    <w:rsid w:val="007958E5"/>
    <w:rsid w:val="00795989"/>
    <w:rsid w:val="00795A4F"/>
    <w:rsid w:val="00795AB5"/>
    <w:rsid w:val="00795BB5"/>
    <w:rsid w:val="00795DD9"/>
    <w:rsid w:val="00795E23"/>
    <w:rsid w:val="00795F20"/>
    <w:rsid w:val="00796224"/>
    <w:rsid w:val="00796225"/>
    <w:rsid w:val="0079622A"/>
    <w:rsid w:val="007962B6"/>
    <w:rsid w:val="0079631E"/>
    <w:rsid w:val="00796396"/>
    <w:rsid w:val="00796539"/>
    <w:rsid w:val="0079658F"/>
    <w:rsid w:val="007965E0"/>
    <w:rsid w:val="00796652"/>
    <w:rsid w:val="00796698"/>
    <w:rsid w:val="00796746"/>
    <w:rsid w:val="0079684B"/>
    <w:rsid w:val="00796970"/>
    <w:rsid w:val="007969C0"/>
    <w:rsid w:val="00796C19"/>
    <w:rsid w:val="00796C44"/>
    <w:rsid w:val="00796D68"/>
    <w:rsid w:val="00796E07"/>
    <w:rsid w:val="00796E74"/>
    <w:rsid w:val="00796F1B"/>
    <w:rsid w:val="00796FA6"/>
    <w:rsid w:val="00796FDE"/>
    <w:rsid w:val="00796FFF"/>
    <w:rsid w:val="007970D8"/>
    <w:rsid w:val="007973A2"/>
    <w:rsid w:val="0079741F"/>
    <w:rsid w:val="007975F1"/>
    <w:rsid w:val="00797626"/>
    <w:rsid w:val="00797907"/>
    <w:rsid w:val="0079799A"/>
    <w:rsid w:val="007979AA"/>
    <w:rsid w:val="00797D02"/>
    <w:rsid w:val="00797EFB"/>
    <w:rsid w:val="00797F0E"/>
    <w:rsid w:val="00797FAB"/>
    <w:rsid w:val="007A0001"/>
    <w:rsid w:val="007A0193"/>
    <w:rsid w:val="007A0203"/>
    <w:rsid w:val="007A036A"/>
    <w:rsid w:val="007A03B5"/>
    <w:rsid w:val="007A0557"/>
    <w:rsid w:val="007A07F3"/>
    <w:rsid w:val="007A0814"/>
    <w:rsid w:val="007A08D9"/>
    <w:rsid w:val="007A0983"/>
    <w:rsid w:val="007A09A1"/>
    <w:rsid w:val="007A09D3"/>
    <w:rsid w:val="007A0AED"/>
    <w:rsid w:val="007A0B8C"/>
    <w:rsid w:val="007A0D3E"/>
    <w:rsid w:val="007A0F12"/>
    <w:rsid w:val="007A126B"/>
    <w:rsid w:val="007A12B9"/>
    <w:rsid w:val="007A12CF"/>
    <w:rsid w:val="007A158C"/>
    <w:rsid w:val="007A190B"/>
    <w:rsid w:val="007A195A"/>
    <w:rsid w:val="007A1994"/>
    <w:rsid w:val="007A19A2"/>
    <w:rsid w:val="007A1A5D"/>
    <w:rsid w:val="007A1A6F"/>
    <w:rsid w:val="007A1A79"/>
    <w:rsid w:val="007A1B22"/>
    <w:rsid w:val="007A1D12"/>
    <w:rsid w:val="007A1E41"/>
    <w:rsid w:val="007A2085"/>
    <w:rsid w:val="007A225E"/>
    <w:rsid w:val="007A23A4"/>
    <w:rsid w:val="007A24A2"/>
    <w:rsid w:val="007A2597"/>
    <w:rsid w:val="007A259A"/>
    <w:rsid w:val="007A2601"/>
    <w:rsid w:val="007A2734"/>
    <w:rsid w:val="007A2775"/>
    <w:rsid w:val="007A281D"/>
    <w:rsid w:val="007A28BF"/>
    <w:rsid w:val="007A2B82"/>
    <w:rsid w:val="007A2C1B"/>
    <w:rsid w:val="007A2CC0"/>
    <w:rsid w:val="007A2DA2"/>
    <w:rsid w:val="007A2E25"/>
    <w:rsid w:val="007A2FC7"/>
    <w:rsid w:val="007A3119"/>
    <w:rsid w:val="007A31A4"/>
    <w:rsid w:val="007A31D1"/>
    <w:rsid w:val="007A3235"/>
    <w:rsid w:val="007A349A"/>
    <w:rsid w:val="007A34F0"/>
    <w:rsid w:val="007A34F8"/>
    <w:rsid w:val="007A355B"/>
    <w:rsid w:val="007A3593"/>
    <w:rsid w:val="007A36EE"/>
    <w:rsid w:val="007A3724"/>
    <w:rsid w:val="007A3859"/>
    <w:rsid w:val="007A3AAC"/>
    <w:rsid w:val="007A3C75"/>
    <w:rsid w:val="007A3EA0"/>
    <w:rsid w:val="007A3EFE"/>
    <w:rsid w:val="007A417B"/>
    <w:rsid w:val="007A425F"/>
    <w:rsid w:val="007A42A4"/>
    <w:rsid w:val="007A4315"/>
    <w:rsid w:val="007A4454"/>
    <w:rsid w:val="007A44EC"/>
    <w:rsid w:val="007A4656"/>
    <w:rsid w:val="007A4797"/>
    <w:rsid w:val="007A493E"/>
    <w:rsid w:val="007A4BF6"/>
    <w:rsid w:val="007A4EB2"/>
    <w:rsid w:val="007A5145"/>
    <w:rsid w:val="007A51B1"/>
    <w:rsid w:val="007A523F"/>
    <w:rsid w:val="007A5353"/>
    <w:rsid w:val="007A53C4"/>
    <w:rsid w:val="007A542B"/>
    <w:rsid w:val="007A5463"/>
    <w:rsid w:val="007A576B"/>
    <w:rsid w:val="007A57BE"/>
    <w:rsid w:val="007A57CB"/>
    <w:rsid w:val="007A58E3"/>
    <w:rsid w:val="007A5ADA"/>
    <w:rsid w:val="007A5CA5"/>
    <w:rsid w:val="007A5D4D"/>
    <w:rsid w:val="007A5FA4"/>
    <w:rsid w:val="007A61AC"/>
    <w:rsid w:val="007A62F5"/>
    <w:rsid w:val="007A6318"/>
    <w:rsid w:val="007A63BF"/>
    <w:rsid w:val="007A6509"/>
    <w:rsid w:val="007A664E"/>
    <w:rsid w:val="007A66AF"/>
    <w:rsid w:val="007A66E4"/>
    <w:rsid w:val="007A66E6"/>
    <w:rsid w:val="007A68D7"/>
    <w:rsid w:val="007A6987"/>
    <w:rsid w:val="007A6AD0"/>
    <w:rsid w:val="007A6B6B"/>
    <w:rsid w:val="007A6C11"/>
    <w:rsid w:val="007A6DE0"/>
    <w:rsid w:val="007A6E08"/>
    <w:rsid w:val="007A6E73"/>
    <w:rsid w:val="007A7097"/>
    <w:rsid w:val="007A715D"/>
    <w:rsid w:val="007A739E"/>
    <w:rsid w:val="007A755F"/>
    <w:rsid w:val="007A7621"/>
    <w:rsid w:val="007A768C"/>
    <w:rsid w:val="007A788C"/>
    <w:rsid w:val="007A7B22"/>
    <w:rsid w:val="007A7B82"/>
    <w:rsid w:val="007A7C2D"/>
    <w:rsid w:val="007A7C8B"/>
    <w:rsid w:val="007A7CA7"/>
    <w:rsid w:val="007A7FEB"/>
    <w:rsid w:val="007B0048"/>
    <w:rsid w:val="007B014C"/>
    <w:rsid w:val="007B0317"/>
    <w:rsid w:val="007B0734"/>
    <w:rsid w:val="007B081D"/>
    <w:rsid w:val="007B0AA7"/>
    <w:rsid w:val="007B0BB9"/>
    <w:rsid w:val="007B0BED"/>
    <w:rsid w:val="007B0C78"/>
    <w:rsid w:val="007B0CCB"/>
    <w:rsid w:val="007B0CD2"/>
    <w:rsid w:val="007B0D2C"/>
    <w:rsid w:val="007B0D86"/>
    <w:rsid w:val="007B0DAA"/>
    <w:rsid w:val="007B1075"/>
    <w:rsid w:val="007B13D8"/>
    <w:rsid w:val="007B1507"/>
    <w:rsid w:val="007B1609"/>
    <w:rsid w:val="007B1890"/>
    <w:rsid w:val="007B197C"/>
    <w:rsid w:val="007B19E5"/>
    <w:rsid w:val="007B1D34"/>
    <w:rsid w:val="007B1FBD"/>
    <w:rsid w:val="007B2102"/>
    <w:rsid w:val="007B2109"/>
    <w:rsid w:val="007B21CD"/>
    <w:rsid w:val="007B21DF"/>
    <w:rsid w:val="007B228E"/>
    <w:rsid w:val="007B2513"/>
    <w:rsid w:val="007B2576"/>
    <w:rsid w:val="007B26A4"/>
    <w:rsid w:val="007B26AC"/>
    <w:rsid w:val="007B2C1F"/>
    <w:rsid w:val="007B2D9D"/>
    <w:rsid w:val="007B2E3A"/>
    <w:rsid w:val="007B2F5C"/>
    <w:rsid w:val="007B32A2"/>
    <w:rsid w:val="007B33EB"/>
    <w:rsid w:val="007B34D4"/>
    <w:rsid w:val="007B3565"/>
    <w:rsid w:val="007B386D"/>
    <w:rsid w:val="007B38F8"/>
    <w:rsid w:val="007B3CCF"/>
    <w:rsid w:val="007B3D84"/>
    <w:rsid w:val="007B3E1D"/>
    <w:rsid w:val="007B3EF0"/>
    <w:rsid w:val="007B428F"/>
    <w:rsid w:val="007B4361"/>
    <w:rsid w:val="007B4662"/>
    <w:rsid w:val="007B46E4"/>
    <w:rsid w:val="007B48BA"/>
    <w:rsid w:val="007B4AAD"/>
    <w:rsid w:val="007B4C42"/>
    <w:rsid w:val="007B4C5F"/>
    <w:rsid w:val="007B4CAB"/>
    <w:rsid w:val="007B4F5B"/>
    <w:rsid w:val="007B4FC0"/>
    <w:rsid w:val="007B5041"/>
    <w:rsid w:val="007B50CF"/>
    <w:rsid w:val="007B5149"/>
    <w:rsid w:val="007B5262"/>
    <w:rsid w:val="007B53BF"/>
    <w:rsid w:val="007B559B"/>
    <w:rsid w:val="007B5610"/>
    <w:rsid w:val="007B5653"/>
    <w:rsid w:val="007B5A39"/>
    <w:rsid w:val="007B5B23"/>
    <w:rsid w:val="007B5C13"/>
    <w:rsid w:val="007B5C3B"/>
    <w:rsid w:val="007B5C7C"/>
    <w:rsid w:val="007B5C96"/>
    <w:rsid w:val="007B5D7F"/>
    <w:rsid w:val="007B5DD1"/>
    <w:rsid w:val="007B5E4A"/>
    <w:rsid w:val="007B5E84"/>
    <w:rsid w:val="007B5F24"/>
    <w:rsid w:val="007B601E"/>
    <w:rsid w:val="007B6084"/>
    <w:rsid w:val="007B619B"/>
    <w:rsid w:val="007B622E"/>
    <w:rsid w:val="007B6940"/>
    <w:rsid w:val="007B6B5D"/>
    <w:rsid w:val="007B6B85"/>
    <w:rsid w:val="007B6C6E"/>
    <w:rsid w:val="007B6C87"/>
    <w:rsid w:val="007B6C88"/>
    <w:rsid w:val="007B6CF7"/>
    <w:rsid w:val="007B6F4A"/>
    <w:rsid w:val="007B7058"/>
    <w:rsid w:val="007B7093"/>
    <w:rsid w:val="007B71D3"/>
    <w:rsid w:val="007B757C"/>
    <w:rsid w:val="007B75DD"/>
    <w:rsid w:val="007B763A"/>
    <w:rsid w:val="007B7831"/>
    <w:rsid w:val="007B7B22"/>
    <w:rsid w:val="007B7B83"/>
    <w:rsid w:val="007B7B9A"/>
    <w:rsid w:val="007B7D8E"/>
    <w:rsid w:val="007B7F91"/>
    <w:rsid w:val="007C00F4"/>
    <w:rsid w:val="007C0120"/>
    <w:rsid w:val="007C0399"/>
    <w:rsid w:val="007C048D"/>
    <w:rsid w:val="007C04D1"/>
    <w:rsid w:val="007C0525"/>
    <w:rsid w:val="007C0709"/>
    <w:rsid w:val="007C0765"/>
    <w:rsid w:val="007C0972"/>
    <w:rsid w:val="007C0B0E"/>
    <w:rsid w:val="007C0BE0"/>
    <w:rsid w:val="007C0C5E"/>
    <w:rsid w:val="007C0F17"/>
    <w:rsid w:val="007C0F26"/>
    <w:rsid w:val="007C0F97"/>
    <w:rsid w:val="007C0FAD"/>
    <w:rsid w:val="007C136D"/>
    <w:rsid w:val="007C14CB"/>
    <w:rsid w:val="007C1637"/>
    <w:rsid w:val="007C1672"/>
    <w:rsid w:val="007C1814"/>
    <w:rsid w:val="007C198E"/>
    <w:rsid w:val="007C19BA"/>
    <w:rsid w:val="007C1AA9"/>
    <w:rsid w:val="007C1B83"/>
    <w:rsid w:val="007C1BB6"/>
    <w:rsid w:val="007C1D61"/>
    <w:rsid w:val="007C1DC2"/>
    <w:rsid w:val="007C1E39"/>
    <w:rsid w:val="007C1F0D"/>
    <w:rsid w:val="007C1F6B"/>
    <w:rsid w:val="007C1F85"/>
    <w:rsid w:val="007C2025"/>
    <w:rsid w:val="007C209C"/>
    <w:rsid w:val="007C20E0"/>
    <w:rsid w:val="007C2115"/>
    <w:rsid w:val="007C222F"/>
    <w:rsid w:val="007C2312"/>
    <w:rsid w:val="007C241F"/>
    <w:rsid w:val="007C29EC"/>
    <w:rsid w:val="007C2B9A"/>
    <w:rsid w:val="007C2FE4"/>
    <w:rsid w:val="007C307F"/>
    <w:rsid w:val="007C326D"/>
    <w:rsid w:val="007C3500"/>
    <w:rsid w:val="007C35C6"/>
    <w:rsid w:val="007C36F9"/>
    <w:rsid w:val="007C3818"/>
    <w:rsid w:val="007C389E"/>
    <w:rsid w:val="007C3B03"/>
    <w:rsid w:val="007C3DC3"/>
    <w:rsid w:val="007C3E99"/>
    <w:rsid w:val="007C3ED1"/>
    <w:rsid w:val="007C3FA1"/>
    <w:rsid w:val="007C40F6"/>
    <w:rsid w:val="007C4327"/>
    <w:rsid w:val="007C45E9"/>
    <w:rsid w:val="007C4626"/>
    <w:rsid w:val="007C467B"/>
    <w:rsid w:val="007C4752"/>
    <w:rsid w:val="007C49DA"/>
    <w:rsid w:val="007C4B12"/>
    <w:rsid w:val="007C4D5F"/>
    <w:rsid w:val="007C4E05"/>
    <w:rsid w:val="007C4E8D"/>
    <w:rsid w:val="007C4ED8"/>
    <w:rsid w:val="007C4EE4"/>
    <w:rsid w:val="007C4F29"/>
    <w:rsid w:val="007C50B6"/>
    <w:rsid w:val="007C52F2"/>
    <w:rsid w:val="007C5328"/>
    <w:rsid w:val="007C5344"/>
    <w:rsid w:val="007C54BE"/>
    <w:rsid w:val="007C54EB"/>
    <w:rsid w:val="007C553A"/>
    <w:rsid w:val="007C55E5"/>
    <w:rsid w:val="007C563B"/>
    <w:rsid w:val="007C5686"/>
    <w:rsid w:val="007C5745"/>
    <w:rsid w:val="007C5779"/>
    <w:rsid w:val="007C586B"/>
    <w:rsid w:val="007C59D0"/>
    <w:rsid w:val="007C5BB4"/>
    <w:rsid w:val="007C5C0D"/>
    <w:rsid w:val="007C604C"/>
    <w:rsid w:val="007C6173"/>
    <w:rsid w:val="007C620A"/>
    <w:rsid w:val="007C6306"/>
    <w:rsid w:val="007C686F"/>
    <w:rsid w:val="007C6AEF"/>
    <w:rsid w:val="007C6EDF"/>
    <w:rsid w:val="007C6F45"/>
    <w:rsid w:val="007C6F9C"/>
    <w:rsid w:val="007C6FB0"/>
    <w:rsid w:val="007C73B7"/>
    <w:rsid w:val="007C7676"/>
    <w:rsid w:val="007C772D"/>
    <w:rsid w:val="007C783C"/>
    <w:rsid w:val="007C7879"/>
    <w:rsid w:val="007C7A7E"/>
    <w:rsid w:val="007C7A9B"/>
    <w:rsid w:val="007C7ABC"/>
    <w:rsid w:val="007C7B40"/>
    <w:rsid w:val="007C7C4F"/>
    <w:rsid w:val="007C7D6F"/>
    <w:rsid w:val="007D068D"/>
    <w:rsid w:val="007D077B"/>
    <w:rsid w:val="007D0848"/>
    <w:rsid w:val="007D089B"/>
    <w:rsid w:val="007D0B48"/>
    <w:rsid w:val="007D0BF3"/>
    <w:rsid w:val="007D0C58"/>
    <w:rsid w:val="007D0E6D"/>
    <w:rsid w:val="007D0E82"/>
    <w:rsid w:val="007D1005"/>
    <w:rsid w:val="007D102C"/>
    <w:rsid w:val="007D112A"/>
    <w:rsid w:val="007D1197"/>
    <w:rsid w:val="007D11BF"/>
    <w:rsid w:val="007D1257"/>
    <w:rsid w:val="007D12A0"/>
    <w:rsid w:val="007D156D"/>
    <w:rsid w:val="007D1754"/>
    <w:rsid w:val="007D17B1"/>
    <w:rsid w:val="007D182C"/>
    <w:rsid w:val="007D18B9"/>
    <w:rsid w:val="007D19BC"/>
    <w:rsid w:val="007D1A13"/>
    <w:rsid w:val="007D1B55"/>
    <w:rsid w:val="007D1C09"/>
    <w:rsid w:val="007D1C76"/>
    <w:rsid w:val="007D1F7A"/>
    <w:rsid w:val="007D1F8E"/>
    <w:rsid w:val="007D231A"/>
    <w:rsid w:val="007D235B"/>
    <w:rsid w:val="007D23BD"/>
    <w:rsid w:val="007D244E"/>
    <w:rsid w:val="007D2589"/>
    <w:rsid w:val="007D26D9"/>
    <w:rsid w:val="007D28F8"/>
    <w:rsid w:val="007D2946"/>
    <w:rsid w:val="007D2AA4"/>
    <w:rsid w:val="007D2BA7"/>
    <w:rsid w:val="007D2BE3"/>
    <w:rsid w:val="007D2C19"/>
    <w:rsid w:val="007D2F8A"/>
    <w:rsid w:val="007D3206"/>
    <w:rsid w:val="007D346E"/>
    <w:rsid w:val="007D34F3"/>
    <w:rsid w:val="007D3558"/>
    <w:rsid w:val="007D39CF"/>
    <w:rsid w:val="007D3D30"/>
    <w:rsid w:val="007D3F21"/>
    <w:rsid w:val="007D4193"/>
    <w:rsid w:val="007D42F7"/>
    <w:rsid w:val="007D44C7"/>
    <w:rsid w:val="007D45EB"/>
    <w:rsid w:val="007D4675"/>
    <w:rsid w:val="007D46D6"/>
    <w:rsid w:val="007D4739"/>
    <w:rsid w:val="007D4A50"/>
    <w:rsid w:val="007D4ADA"/>
    <w:rsid w:val="007D4B87"/>
    <w:rsid w:val="007D4C17"/>
    <w:rsid w:val="007D4C98"/>
    <w:rsid w:val="007D4CB6"/>
    <w:rsid w:val="007D5238"/>
    <w:rsid w:val="007D529D"/>
    <w:rsid w:val="007D53EF"/>
    <w:rsid w:val="007D54E4"/>
    <w:rsid w:val="007D56B8"/>
    <w:rsid w:val="007D57E6"/>
    <w:rsid w:val="007D5924"/>
    <w:rsid w:val="007D59BB"/>
    <w:rsid w:val="007D5D91"/>
    <w:rsid w:val="007D5F70"/>
    <w:rsid w:val="007D64AB"/>
    <w:rsid w:val="007D6513"/>
    <w:rsid w:val="007D65E8"/>
    <w:rsid w:val="007D684E"/>
    <w:rsid w:val="007D6AA7"/>
    <w:rsid w:val="007D6AB2"/>
    <w:rsid w:val="007D6C7C"/>
    <w:rsid w:val="007D6E0E"/>
    <w:rsid w:val="007D6EC7"/>
    <w:rsid w:val="007D6F42"/>
    <w:rsid w:val="007D6F46"/>
    <w:rsid w:val="007D6FB5"/>
    <w:rsid w:val="007D7153"/>
    <w:rsid w:val="007D716B"/>
    <w:rsid w:val="007D725F"/>
    <w:rsid w:val="007D72BF"/>
    <w:rsid w:val="007D733D"/>
    <w:rsid w:val="007D7913"/>
    <w:rsid w:val="007D79E2"/>
    <w:rsid w:val="007D7D8F"/>
    <w:rsid w:val="007D7EF5"/>
    <w:rsid w:val="007D7F6F"/>
    <w:rsid w:val="007E027F"/>
    <w:rsid w:val="007E029F"/>
    <w:rsid w:val="007E04B5"/>
    <w:rsid w:val="007E0552"/>
    <w:rsid w:val="007E0820"/>
    <w:rsid w:val="007E0832"/>
    <w:rsid w:val="007E087D"/>
    <w:rsid w:val="007E0B15"/>
    <w:rsid w:val="007E0BB1"/>
    <w:rsid w:val="007E0C02"/>
    <w:rsid w:val="007E0C8C"/>
    <w:rsid w:val="007E0D2B"/>
    <w:rsid w:val="007E0F73"/>
    <w:rsid w:val="007E0FC9"/>
    <w:rsid w:val="007E12D6"/>
    <w:rsid w:val="007E1356"/>
    <w:rsid w:val="007E146A"/>
    <w:rsid w:val="007E1510"/>
    <w:rsid w:val="007E1579"/>
    <w:rsid w:val="007E160D"/>
    <w:rsid w:val="007E183C"/>
    <w:rsid w:val="007E19D8"/>
    <w:rsid w:val="007E19E5"/>
    <w:rsid w:val="007E1C50"/>
    <w:rsid w:val="007E1E15"/>
    <w:rsid w:val="007E1F0D"/>
    <w:rsid w:val="007E1F4C"/>
    <w:rsid w:val="007E1FE5"/>
    <w:rsid w:val="007E2150"/>
    <w:rsid w:val="007E22EB"/>
    <w:rsid w:val="007E2478"/>
    <w:rsid w:val="007E26FB"/>
    <w:rsid w:val="007E280A"/>
    <w:rsid w:val="007E285A"/>
    <w:rsid w:val="007E2994"/>
    <w:rsid w:val="007E2BD3"/>
    <w:rsid w:val="007E2C3C"/>
    <w:rsid w:val="007E2C84"/>
    <w:rsid w:val="007E2DA0"/>
    <w:rsid w:val="007E2FBE"/>
    <w:rsid w:val="007E3034"/>
    <w:rsid w:val="007E331E"/>
    <w:rsid w:val="007E35F0"/>
    <w:rsid w:val="007E38FA"/>
    <w:rsid w:val="007E391D"/>
    <w:rsid w:val="007E3954"/>
    <w:rsid w:val="007E3A13"/>
    <w:rsid w:val="007E3A2D"/>
    <w:rsid w:val="007E3A72"/>
    <w:rsid w:val="007E41B4"/>
    <w:rsid w:val="007E427C"/>
    <w:rsid w:val="007E43DE"/>
    <w:rsid w:val="007E44CC"/>
    <w:rsid w:val="007E44E1"/>
    <w:rsid w:val="007E4985"/>
    <w:rsid w:val="007E4A17"/>
    <w:rsid w:val="007E4A32"/>
    <w:rsid w:val="007E4AC7"/>
    <w:rsid w:val="007E4C4F"/>
    <w:rsid w:val="007E4D08"/>
    <w:rsid w:val="007E4D49"/>
    <w:rsid w:val="007E4E62"/>
    <w:rsid w:val="007E4F21"/>
    <w:rsid w:val="007E4FCB"/>
    <w:rsid w:val="007E4FE7"/>
    <w:rsid w:val="007E5135"/>
    <w:rsid w:val="007E514C"/>
    <w:rsid w:val="007E5219"/>
    <w:rsid w:val="007E56EA"/>
    <w:rsid w:val="007E5712"/>
    <w:rsid w:val="007E5924"/>
    <w:rsid w:val="007E5AB8"/>
    <w:rsid w:val="007E5AED"/>
    <w:rsid w:val="007E5B7E"/>
    <w:rsid w:val="007E5B8E"/>
    <w:rsid w:val="007E5C97"/>
    <w:rsid w:val="007E5D01"/>
    <w:rsid w:val="007E5D11"/>
    <w:rsid w:val="007E5D79"/>
    <w:rsid w:val="007E6245"/>
    <w:rsid w:val="007E63FF"/>
    <w:rsid w:val="007E659E"/>
    <w:rsid w:val="007E68BD"/>
    <w:rsid w:val="007E6A29"/>
    <w:rsid w:val="007E6ADE"/>
    <w:rsid w:val="007E6BD3"/>
    <w:rsid w:val="007E6BEE"/>
    <w:rsid w:val="007E6CB1"/>
    <w:rsid w:val="007E6F4A"/>
    <w:rsid w:val="007E7112"/>
    <w:rsid w:val="007E72E2"/>
    <w:rsid w:val="007E7361"/>
    <w:rsid w:val="007E7552"/>
    <w:rsid w:val="007E7569"/>
    <w:rsid w:val="007E7736"/>
    <w:rsid w:val="007E78A1"/>
    <w:rsid w:val="007E7A1E"/>
    <w:rsid w:val="007E7B93"/>
    <w:rsid w:val="007E7BA0"/>
    <w:rsid w:val="007E7C68"/>
    <w:rsid w:val="007E7D4B"/>
    <w:rsid w:val="007E7DA4"/>
    <w:rsid w:val="007E7F32"/>
    <w:rsid w:val="007F00DC"/>
    <w:rsid w:val="007F01E4"/>
    <w:rsid w:val="007F03CE"/>
    <w:rsid w:val="007F0703"/>
    <w:rsid w:val="007F0768"/>
    <w:rsid w:val="007F091E"/>
    <w:rsid w:val="007F09C4"/>
    <w:rsid w:val="007F0A34"/>
    <w:rsid w:val="007F0C84"/>
    <w:rsid w:val="007F0CA8"/>
    <w:rsid w:val="007F0CED"/>
    <w:rsid w:val="007F0D4E"/>
    <w:rsid w:val="007F0D51"/>
    <w:rsid w:val="007F0DD1"/>
    <w:rsid w:val="007F0DE5"/>
    <w:rsid w:val="007F0E73"/>
    <w:rsid w:val="007F0E87"/>
    <w:rsid w:val="007F0F4B"/>
    <w:rsid w:val="007F1164"/>
    <w:rsid w:val="007F12E7"/>
    <w:rsid w:val="007F132E"/>
    <w:rsid w:val="007F1496"/>
    <w:rsid w:val="007F157F"/>
    <w:rsid w:val="007F19B1"/>
    <w:rsid w:val="007F1A42"/>
    <w:rsid w:val="007F1A4B"/>
    <w:rsid w:val="007F1A51"/>
    <w:rsid w:val="007F1B13"/>
    <w:rsid w:val="007F1C67"/>
    <w:rsid w:val="007F1CF6"/>
    <w:rsid w:val="007F1EA5"/>
    <w:rsid w:val="007F2050"/>
    <w:rsid w:val="007F217B"/>
    <w:rsid w:val="007F2205"/>
    <w:rsid w:val="007F25FD"/>
    <w:rsid w:val="007F2668"/>
    <w:rsid w:val="007F267A"/>
    <w:rsid w:val="007F2722"/>
    <w:rsid w:val="007F27F7"/>
    <w:rsid w:val="007F2859"/>
    <w:rsid w:val="007F28E0"/>
    <w:rsid w:val="007F2B2B"/>
    <w:rsid w:val="007F2B41"/>
    <w:rsid w:val="007F2B48"/>
    <w:rsid w:val="007F2B79"/>
    <w:rsid w:val="007F2E38"/>
    <w:rsid w:val="007F2E56"/>
    <w:rsid w:val="007F3002"/>
    <w:rsid w:val="007F3090"/>
    <w:rsid w:val="007F349E"/>
    <w:rsid w:val="007F3538"/>
    <w:rsid w:val="007F3572"/>
    <w:rsid w:val="007F361D"/>
    <w:rsid w:val="007F3752"/>
    <w:rsid w:val="007F37ED"/>
    <w:rsid w:val="007F3AA1"/>
    <w:rsid w:val="007F3BA9"/>
    <w:rsid w:val="007F3C1F"/>
    <w:rsid w:val="007F3E42"/>
    <w:rsid w:val="007F3ED7"/>
    <w:rsid w:val="007F40E6"/>
    <w:rsid w:val="007F4110"/>
    <w:rsid w:val="007F41F6"/>
    <w:rsid w:val="007F47BD"/>
    <w:rsid w:val="007F4802"/>
    <w:rsid w:val="007F4AD8"/>
    <w:rsid w:val="007F4D18"/>
    <w:rsid w:val="007F4E9E"/>
    <w:rsid w:val="007F5125"/>
    <w:rsid w:val="007F5315"/>
    <w:rsid w:val="007F570B"/>
    <w:rsid w:val="007F5716"/>
    <w:rsid w:val="007F5866"/>
    <w:rsid w:val="007F5938"/>
    <w:rsid w:val="007F5B63"/>
    <w:rsid w:val="007F5BEE"/>
    <w:rsid w:val="007F5D02"/>
    <w:rsid w:val="007F5DDF"/>
    <w:rsid w:val="007F5DE7"/>
    <w:rsid w:val="007F5EA2"/>
    <w:rsid w:val="007F6141"/>
    <w:rsid w:val="007F636C"/>
    <w:rsid w:val="007F63B8"/>
    <w:rsid w:val="007F6460"/>
    <w:rsid w:val="007F65DF"/>
    <w:rsid w:val="007F6696"/>
    <w:rsid w:val="007F6778"/>
    <w:rsid w:val="007F692C"/>
    <w:rsid w:val="007F6980"/>
    <w:rsid w:val="007F69CE"/>
    <w:rsid w:val="007F6C63"/>
    <w:rsid w:val="007F6D97"/>
    <w:rsid w:val="007F6F91"/>
    <w:rsid w:val="007F6FCC"/>
    <w:rsid w:val="007F7086"/>
    <w:rsid w:val="007F70EC"/>
    <w:rsid w:val="007F71D2"/>
    <w:rsid w:val="007F71E3"/>
    <w:rsid w:val="007F740B"/>
    <w:rsid w:val="007F745A"/>
    <w:rsid w:val="007F74BB"/>
    <w:rsid w:val="007F780D"/>
    <w:rsid w:val="007F7845"/>
    <w:rsid w:val="007F78C8"/>
    <w:rsid w:val="007F78F7"/>
    <w:rsid w:val="007F7A48"/>
    <w:rsid w:val="007F7BB5"/>
    <w:rsid w:val="007F7BC2"/>
    <w:rsid w:val="007F7D14"/>
    <w:rsid w:val="007F7EA9"/>
    <w:rsid w:val="007F7EDD"/>
    <w:rsid w:val="0080001B"/>
    <w:rsid w:val="0080009D"/>
    <w:rsid w:val="008001E7"/>
    <w:rsid w:val="00800245"/>
    <w:rsid w:val="0080039C"/>
    <w:rsid w:val="008003F1"/>
    <w:rsid w:val="008005BB"/>
    <w:rsid w:val="0080066E"/>
    <w:rsid w:val="008006C7"/>
    <w:rsid w:val="0080070C"/>
    <w:rsid w:val="00800772"/>
    <w:rsid w:val="00800900"/>
    <w:rsid w:val="00801031"/>
    <w:rsid w:val="008014FB"/>
    <w:rsid w:val="008016A7"/>
    <w:rsid w:val="00801883"/>
    <w:rsid w:val="00801ACE"/>
    <w:rsid w:val="00801B6D"/>
    <w:rsid w:val="00801B8D"/>
    <w:rsid w:val="00801CAF"/>
    <w:rsid w:val="00801CCE"/>
    <w:rsid w:val="00801D2F"/>
    <w:rsid w:val="00801D47"/>
    <w:rsid w:val="00801DD3"/>
    <w:rsid w:val="00801F14"/>
    <w:rsid w:val="00801F4F"/>
    <w:rsid w:val="008020EC"/>
    <w:rsid w:val="0080219F"/>
    <w:rsid w:val="008022C9"/>
    <w:rsid w:val="00802635"/>
    <w:rsid w:val="008027BE"/>
    <w:rsid w:val="008027D5"/>
    <w:rsid w:val="00802A25"/>
    <w:rsid w:val="00802A50"/>
    <w:rsid w:val="00802ACE"/>
    <w:rsid w:val="00802B66"/>
    <w:rsid w:val="00802BE9"/>
    <w:rsid w:val="00802C85"/>
    <w:rsid w:val="00802D44"/>
    <w:rsid w:val="00802D8E"/>
    <w:rsid w:val="00802E39"/>
    <w:rsid w:val="00802EC2"/>
    <w:rsid w:val="008030F1"/>
    <w:rsid w:val="00803124"/>
    <w:rsid w:val="0080338E"/>
    <w:rsid w:val="008034BC"/>
    <w:rsid w:val="008034F6"/>
    <w:rsid w:val="008035A0"/>
    <w:rsid w:val="008038E3"/>
    <w:rsid w:val="00803A49"/>
    <w:rsid w:val="00803AFD"/>
    <w:rsid w:val="00803BC3"/>
    <w:rsid w:val="00803F40"/>
    <w:rsid w:val="00803F68"/>
    <w:rsid w:val="00803F8E"/>
    <w:rsid w:val="008040CB"/>
    <w:rsid w:val="0080415B"/>
    <w:rsid w:val="00804230"/>
    <w:rsid w:val="00804464"/>
    <w:rsid w:val="00804487"/>
    <w:rsid w:val="0080456B"/>
    <w:rsid w:val="008045A1"/>
    <w:rsid w:val="0080463C"/>
    <w:rsid w:val="00804872"/>
    <w:rsid w:val="008048F0"/>
    <w:rsid w:val="008049BD"/>
    <w:rsid w:val="00804E23"/>
    <w:rsid w:val="0080533C"/>
    <w:rsid w:val="0080545E"/>
    <w:rsid w:val="008055D5"/>
    <w:rsid w:val="008056DC"/>
    <w:rsid w:val="0080572D"/>
    <w:rsid w:val="00805965"/>
    <w:rsid w:val="00805C74"/>
    <w:rsid w:val="00805CC1"/>
    <w:rsid w:val="00805DB9"/>
    <w:rsid w:val="00805DFA"/>
    <w:rsid w:val="00805F47"/>
    <w:rsid w:val="00805FF1"/>
    <w:rsid w:val="008062BC"/>
    <w:rsid w:val="008062E5"/>
    <w:rsid w:val="00806325"/>
    <w:rsid w:val="0080647E"/>
    <w:rsid w:val="008064BE"/>
    <w:rsid w:val="008065DC"/>
    <w:rsid w:val="0080679F"/>
    <w:rsid w:val="008067C3"/>
    <w:rsid w:val="008067E4"/>
    <w:rsid w:val="008067F5"/>
    <w:rsid w:val="0080692C"/>
    <w:rsid w:val="0080692D"/>
    <w:rsid w:val="00806A0D"/>
    <w:rsid w:val="00806A4E"/>
    <w:rsid w:val="00806B0E"/>
    <w:rsid w:val="00806CE4"/>
    <w:rsid w:val="00806E61"/>
    <w:rsid w:val="00806E63"/>
    <w:rsid w:val="00806F7F"/>
    <w:rsid w:val="00807197"/>
    <w:rsid w:val="0080749E"/>
    <w:rsid w:val="008074F6"/>
    <w:rsid w:val="008076BB"/>
    <w:rsid w:val="0080784D"/>
    <w:rsid w:val="00807873"/>
    <w:rsid w:val="00807920"/>
    <w:rsid w:val="00807AF5"/>
    <w:rsid w:val="00807CAB"/>
    <w:rsid w:val="00807D6A"/>
    <w:rsid w:val="00807DE1"/>
    <w:rsid w:val="00807EB3"/>
    <w:rsid w:val="00807FF8"/>
    <w:rsid w:val="008101B3"/>
    <w:rsid w:val="0081026E"/>
    <w:rsid w:val="008106A9"/>
    <w:rsid w:val="008106CA"/>
    <w:rsid w:val="00810789"/>
    <w:rsid w:val="008107B5"/>
    <w:rsid w:val="00810A37"/>
    <w:rsid w:val="00810A58"/>
    <w:rsid w:val="00810C17"/>
    <w:rsid w:val="00810C1A"/>
    <w:rsid w:val="00810EE4"/>
    <w:rsid w:val="00810F8E"/>
    <w:rsid w:val="00810FE7"/>
    <w:rsid w:val="00811249"/>
    <w:rsid w:val="008113A1"/>
    <w:rsid w:val="008113A6"/>
    <w:rsid w:val="008113E2"/>
    <w:rsid w:val="008113F3"/>
    <w:rsid w:val="008115DA"/>
    <w:rsid w:val="00811782"/>
    <w:rsid w:val="00811A18"/>
    <w:rsid w:val="00811A9E"/>
    <w:rsid w:val="00811B84"/>
    <w:rsid w:val="00811DC2"/>
    <w:rsid w:val="00811F9B"/>
    <w:rsid w:val="008120D7"/>
    <w:rsid w:val="00812146"/>
    <w:rsid w:val="00812150"/>
    <w:rsid w:val="008127B0"/>
    <w:rsid w:val="00812838"/>
    <w:rsid w:val="00812AD1"/>
    <w:rsid w:val="00812C48"/>
    <w:rsid w:val="00812C4C"/>
    <w:rsid w:val="00812CE5"/>
    <w:rsid w:val="00812D16"/>
    <w:rsid w:val="00812E1A"/>
    <w:rsid w:val="00812EFC"/>
    <w:rsid w:val="00812F78"/>
    <w:rsid w:val="00812FFC"/>
    <w:rsid w:val="00813225"/>
    <w:rsid w:val="008133E1"/>
    <w:rsid w:val="00813543"/>
    <w:rsid w:val="00813558"/>
    <w:rsid w:val="0081390F"/>
    <w:rsid w:val="00813968"/>
    <w:rsid w:val="00813A1D"/>
    <w:rsid w:val="00813B27"/>
    <w:rsid w:val="00813BCA"/>
    <w:rsid w:val="00813D40"/>
    <w:rsid w:val="00813D7F"/>
    <w:rsid w:val="00813D8E"/>
    <w:rsid w:val="00813EA0"/>
    <w:rsid w:val="00813EE6"/>
    <w:rsid w:val="0081401F"/>
    <w:rsid w:val="00814139"/>
    <w:rsid w:val="008141AA"/>
    <w:rsid w:val="008141CA"/>
    <w:rsid w:val="008143DC"/>
    <w:rsid w:val="00814528"/>
    <w:rsid w:val="00814687"/>
    <w:rsid w:val="008147E2"/>
    <w:rsid w:val="00814836"/>
    <w:rsid w:val="00814B06"/>
    <w:rsid w:val="00814C1D"/>
    <w:rsid w:val="00814FCD"/>
    <w:rsid w:val="008150BF"/>
    <w:rsid w:val="00815119"/>
    <w:rsid w:val="008151E1"/>
    <w:rsid w:val="0081536A"/>
    <w:rsid w:val="008155F5"/>
    <w:rsid w:val="0081569F"/>
    <w:rsid w:val="00815810"/>
    <w:rsid w:val="00815869"/>
    <w:rsid w:val="00815897"/>
    <w:rsid w:val="008158FF"/>
    <w:rsid w:val="00815932"/>
    <w:rsid w:val="00815942"/>
    <w:rsid w:val="00815A03"/>
    <w:rsid w:val="00815ADA"/>
    <w:rsid w:val="00815EBF"/>
    <w:rsid w:val="00816100"/>
    <w:rsid w:val="00816130"/>
    <w:rsid w:val="00816242"/>
    <w:rsid w:val="00816322"/>
    <w:rsid w:val="00816485"/>
    <w:rsid w:val="00816488"/>
    <w:rsid w:val="008165F2"/>
    <w:rsid w:val="00816721"/>
    <w:rsid w:val="0081684F"/>
    <w:rsid w:val="00816897"/>
    <w:rsid w:val="00816B70"/>
    <w:rsid w:val="00816C99"/>
    <w:rsid w:val="00816F67"/>
    <w:rsid w:val="00817112"/>
    <w:rsid w:val="00817641"/>
    <w:rsid w:val="00817691"/>
    <w:rsid w:val="00817714"/>
    <w:rsid w:val="0081781E"/>
    <w:rsid w:val="008178EC"/>
    <w:rsid w:val="00817901"/>
    <w:rsid w:val="00817988"/>
    <w:rsid w:val="008179B1"/>
    <w:rsid w:val="00817ABA"/>
    <w:rsid w:val="00817C30"/>
    <w:rsid w:val="00817C5A"/>
    <w:rsid w:val="00817C7A"/>
    <w:rsid w:val="00817DE1"/>
    <w:rsid w:val="0082002D"/>
    <w:rsid w:val="0082006A"/>
    <w:rsid w:val="008200A7"/>
    <w:rsid w:val="00820138"/>
    <w:rsid w:val="008202AF"/>
    <w:rsid w:val="0082043D"/>
    <w:rsid w:val="0082049A"/>
    <w:rsid w:val="00820683"/>
    <w:rsid w:val="00820778"/>
    <w:rsid w:val="008208C0"/>
    <w:rsid w:val="008208EF"/>
    <w:rsid w:val="00820AD2"/>
    <w:rsid w:val="00820ADB"/>
    <w:rsid w:val="00820AF6"/>
    <w:rsid w:val="00820C6A"/>
    <w:rsid w:val="00820C87"/>
    <w:rsid w:val="00820D98"/>
    <w:rsid w:val="00820F59"/>
    <w:rsid w:val="008211DD"/>
    <w:rsid w:val="00821428"/>
    <w:rsid w:val="008215E3"/>
    <w:rsid w:val="00821612"/>
    <w:rsid w:val="00821C25"/>
    <w:rsid w:val="00821CAB"/>
    <w:rsid w:val="00821D6B"/>
    <w:rsid w:val="00821DDD"/>
    <w:rsid w:val="00821E84"/>
    <w:rsid w:val="008221B4"/>
    <w:rsid w:val="008221FD"/>
    <w:rsid w:val="0082228C"/>
    <w:rsid w:val="008222A4"/>
    <w:rsid w:val="008222B7"/>
    <w:rsid w:val="00822335"/>
    <w:rsid w:val="00822340"/>
    <w:rsid w:val="00822393"/>
    <w:rsid w:val="008223C3"/>
    <w:rsid w:val="00822425"/>
    <w:rsid w:val="00822620"/>
    <w:rsid w:val="008226A4"/>
    <w:rsid w:val="008226FC"/>
    <w:rsid w:val="0082272C"/>
    <w:rsid w:val="008228D8"/>
    <w:rsid w:val="00822A95"/>
    <w:rsid w:val="00822C3D"/>
    <w:rsid w:val="00822CC9"/>
    <w:rsid w:val="00822E24"/>
    <w:rsid w:val="00822E59"/>
    <w:rsid w:val="00822F64"/>
    <w:rsid w:val="0082306F"/>
    <w:rsid w:val="0082313E"/>
    <w:rsid w:val="00823465"/>
    <w:rsid w:val="008235EF"/>
    <w:rsid w:val="00823691"/>
    <w:rsid w:val="00823806"/>
    <w:rsid w:val="00823896"/>
    <w:rsid w:val="00823942"/>
    <w:rsid w:val="00823AFA"/>
    <w:rsid w:val="00823B98"/>
    <w:rsid w:val="00823CEA"/>
    <w:rsid w:val="00823FFE"/>
    <w:rsid w:val="00824005"/>
    <w:rsid w:val="008241C8"/>
    <w:rsid w:val="00824412"/>
    <w:rsid w:val="008244A8"/>
    <w:rsid w:val="008244FA"/>
    <w:rsid w:val="008245FA"/>
    <w:rsid w:val="0082478C"/>
    <w:rsid w:val="00824951"/>
    <w:rsid w:val="0082496E"/>
    <w:rsid w:val="00824F88"/>
    <w:rsid w:val="008250FA"/>
    <w:rsid w:val="008252B9"/>
    <w:rsid w:val="008254F5"/>
    <w:rsid w:val="008255CE"/>
    <w:rsid w:val="008256D8"/>
    <w:rsid w:val="008256DB"/>
    <w:rsid w:val="008256FF"/>
    <w:rsid w:val="0082581B"/>
    <w:rsid w:val="00825884"/>
    <w:rsid w:val="00825902"/>
    <w:rsid w:val="0082597F"/>
    <w:rsid w:val="00825996"/>
    <w:rsid w:val="00825C0B"/>
    <w:rsid w:val="00825C0E"/>
    <w:rsid w:val="00825CC1"/>
    <w:rsid w:val="00825D29"/>
    <w:rsid w:val="00825D2D"/>
    <w:rsid w:val="00825E39"/>
    <w:rsid w:val="00825F41"/>
    <w:rsid w:val="00826019"/>
    <w:rsid w:val="00826343"/>
    <w:rsid w:val="0082644E"/>
    <w:rsid w:val="0082656A"/>
    <w:rsid w:val="008265D8"/>
    <w:rsid w:val="008267F6"/>
    <w:rsid w:val="00826953"/>
    <w:rsid w:val="008269FD"/>
    <w:rsid w:val="00826A89"/>
    <w:rsid w:val="00826BD7"/>
    <w:rsid w:val="00826BE2"/>
    <w:rsid w:val="00826CAB"/>
    <w:rsid w:val="00826EF3"/>
    <w:rsid w:val="00827095"/>
    <w:rsid w:val="00827195"/>
    <w:rsid w:val="008271CF"/>
    <w:rsid w:val="00827203"/>
    <w:rsid w:val="00827304"/>
    <w:rsid w:val="008273E7"/>
    <w:rsid w:val="0082746A"/>
    <w:rsid w:val="0082765C"/>
    <w:rsid w:val="008276B2"/>
    <w:rsid w:val="00827821"/>
    <w:rsid w:val="008278FB"/>
    <w:rsid w:val="00827936"/>
    <w:rsid w:val="008279A8"/>
    <w:rsid w:val="00827B98"/>
    <w:rsid w:val="00827BFC"/>
    <w:rsid w:val="00827D4A"/>
    <w:rsid w:val="00827DB9"/>
    <w:rsid w:val="00827E1C"/>
    <w:rsid w:val="00827E8E"/>
    <w:rsid w:val="00827F14"/>
    <w:rsid w:val="008301A7"/>
    <w:rsid w:val="00830569"/>
    <w:rsid w:val="00830587"/>
    <w:rsid w:val="00830605"/>
    <w:rsid w:val="00830A4C"/>
    <w:rsid w:val="00830C9B"/>
    <w:rsid w:val="00830D85"/>
    <w:rsid w:val="00830DF2"/>
    <w:rsid w:val="00830E4D"/>
    <w:rsid w:val="00830E91"/>
    <w:rsid w:val="008310D2"/>
    <w:rsid w:val="008310FB"/>
    <w:rsid w:val="008312E0"/>
    <w:rsid w:val="00831403"/>
    <w:rsid w:val="008314EB"/>
    <w:rsid w:val="0083150B"/>
    <w:rsid w:val="0083155E"/>
    <w:rsid w:val="00831626"/>
    <w:rsid w:val="00831744"/>
    <w:rsid w:val="0083192A"/>
    <w:rsid w:val="0083195B"/>
    <w:rsid w:val="00831ADA"/>
    <w:rsid w:val="00831F17"/>
    <w:rsid w:val="00831F4D"/>
    <w:rsid w:val="00831FA3"/>
    <w:rsid w:val="00832118"/>
    <w:rsid w:val="0083227F"/>
    <w:rsid w:val="008322DB"/>
    <w:rsid w:val="008324BA"/>
    <w:rsid w:val="008324E3"/>
    <w:rsid w:val="00832A12"/>
    <w:rsid w:val="00832AEC"/>
    <w:rsid w:val="00832B00"/>
    <w:rsid w:val="00832B63"/>
    <w:rsid w:val="00832EE2"/>
    <w:rsid w:val="0083325A"/>
    <w:rsid w:val="00833272"/>
    <w:rsid w:val="00833300"/>
    <w:rsid w:val="008336ED"/>
    <w:rsid w:val="00833A44"/>
    <w:rsid w:val="00833B29"/>
    <w:rsid w:val="00833CB2"/>
    <w:rsid w:val="00833D6D"/>
    <w:rsid w:val="00833E85"/>
    <w:rsid w:val="00833E9E"/>
    <w:rsid w:val="00833EDB"/>
    <w:rsid w:val="008341C5"/>
    <w:rsid w:val="008341C9"/>
    <w:rsid w:val="008341DB"/>
    <w:rsid w:val="00834237"/>
    <w:rsid w:val="008344CE"/>
    <w:rsid w:val="00834502"/>
    <w:rsid w:val="0083475D"/>
    <w:rsid w:val="00834792"/>
    <w:rsid w:val="00834833"/>
    <w:rsid w:val="008349D3"/>
    <w:rsid w:val="00834CCF"/>
    <w:rsid w:val="00834FB9"/>
    <w:rsid w:val="0083512E"/>
    <w:rsid w:val="008351A6"/>
    <w:rsid w:val="00835263"/>
    <w:rsid w:val="008353C3"/>
    <w:rsid w:val="008354B5"/>
    <w:rsid w:val="008354D3"/>
    <w:rsid w:val="008354F5"/>
    <w:rsid w:val="0083578A"/>
    <w:rsid w:val="008357ED"/>
    <w:rsid w:val="008358C3"/>
    <w:rsid w:val="00835A1E"/>
    <w:rsid w:val="00835AF5"/>
    <w:rsid w:val="00835B0C"/>
    <w:rsid w:val="00835C7F"/>
    <w:rsid w:val="00836080"/>
    <w:rsid w:val="008360D0"/>
    <w:rsid w:val="00836138"/>
    <w:rsid w:val="00836258"/>
    <w:rsid w:val="008363B3"/>
    <w:rsid w:val="00836593"/>
    <w:rsid w:val="00836611"/>
    <w:rsid w:val="0083674E"/>
    <w:rsid w:val="00836781"/>
    <w:rsid w:val="00836CE9"/>
    <w:rsid w:val="00836D6D"/>
    <w:rsid w:val="00836F4A"/>
    <w:rsid w:val="00836FB5"/>
    <w:rsid w:val="00837011"/>
    <w:rsid w:val="00837086"/>
    <w:rsid w:val="008370E3"/>
    <w:rsid w:val="00837105"/>
    <w:rsid w:val="008371F1"/>
    <w:rsid w:val="008373F0"/>
    <w:rsid w:val="008375F1"/>
    <w:rsid w:val="008377FA"/>
    <w:rsid w:val="0083797A"/>
    <w:rsid w:val="00837C6A"/>
    <w:rsid w:val="00837DAF"/>
    <w:rsid w:val="00840250"/>
    <w:rsid w:val="0084034B"/>
    <w:rsid w:val="00840504"/>
    <w:rsid w:val="00840807"/>
    <w:rsid w:val="00840B65"/>
    <w:rsid w:val="00840BAB"/>
    <w:rsid w:val="00840BB1"/>
    <w:rsid w:val="00840F8C"/>
    <w:rsid w:val="00841103"/>
    <w:rsid w:val="0084126A"/>
    <w:rsid w:val="0084139D"/>
    <w:rsid w:val="00841465"/>
    <w:rsid w:val="00841687"/>
    <w:rsid w:val="008416A5"/>
    <w:rsid w:val="008416FE"/>
    <w:rsid w:val="00841A67"/>
    <w:rsid w:val="00841A9B"/>
    <w:rsid w:val="00841B10"/>
    <w:rsid w:val="00841BE1"/>
    <w:rsid w:val="00841CE6"/>
    <w:rsid w:val="00841D5C"/>
    <w:rsid w:val="00841D99"/>
    <w:rsid w:val="00841E65"/>
    <w:rsid w:val="008424AD"/>
    <w:rsid w:val="00842545"/>
    <w:rsid w:val="00842785"/>
    <w:rsid w:val="00842D42"/>
    <w:rsid w:val="00842ED6"/>
    <w:rsid w:val="00842F1D"/>
    <w:rsid w:val="0084300D"/>
    <w:rsid w:val="00843199"/>
    <w:rsid w:val="008434D9"/>
    <w:rsid w:val="00843590"/>
    <w:rsid w:val="008437F2"/>
    <w:rsid w:val="008438CD"/>
    <w:rsid w:val="00843A78"/>
    <w:rsid w:val="00843A8F"/>
    <w:rsid w:val="00843B68"/>
    <w:rsid w:val="00843BA0"/>
    <w:rsid w:val="00843E72"/>
    <w:rsid w:val="00843FBF"/>
    <w:rsid w:val="00844024"/>
    <w:rsid w:val="008442A9"/>
    <w:rsid w:val="008442D4"/>
    <w:rsid w:val="00844409"/>
    <w:rsid w:val="0084450C"/>
    <w:rsid w:val="008446D3"/>
    <w:rsid w:val="008447A6"/>
    <w:rsid w:val="008447DE"/>
    <w:rsid w:val="00844A9B"/>
    <w:rsid w:val="00844AF3"/>
    <w:rsid w:val="00844B53"/>
    <w:rsid w:val="00844CCB"/>
    <w:rsid w:val="00844E60"/>
    <w:rsid w:val="00845111"/>
    <w:rsid w:val="00845347"/>
    <w:rsid w:val="008453BB"/>
    <w:rsid w:val="00845464"/>
    <w:rsid w:val="00845515"/>
    <w:rsid w:val="008457A1"/>
    <w:rsid w:val="008457B3"/>
    <w:rsid w:val="008458C7"/>
    <w:rsid w:val="00845A05"/>
    <w:rsid w:val="00845CAD"/>
    <w:rsid w:val="00845CC8"/>
    <w:rsid w:val="00845D21"/>
    <w:rsid w:val="00845DE5"/>
    <w:rsid w:val="00845E9E"/>
    <w:rsid w:val="0084607F"/>
    <w:rsid w:val="008461A7"/>
    <w:rsid w:val="008461B1"/>
    <w:rsid w:val="008462D3"/>
    <w:rsid w:val="0084639B"/>
    <w:rsid w:val="008463EB"/>
    <w:rsid w:val="00846774"/>
    <w:rsid w:val="008468BF"/>
    <w:rsid w:val="008469D5"/>
    <w:rsid w:val="00846B98"/>
    <w:rsid w:val="00846BD5"/>
    <w:rsid w:val="00846D2B"/>
    <w:rsid w:val="00846D7B"/>
    <w:rsid w:val="00846EF9"/>
    <w:rsid w:val="00846F9A"/>
    <w:rsid w:val="008470F1"/>
    <w:rsid w:val="00847104"/>
    <w:rsid w:val="00847458"/>
    <w:rsid w:val="00847492"/>
    <w:rsid w:val="008474C2"/>
    <w:rsid w:val="008474F4"/>
    <w:rsid w:val="0084763D"/>
    <w:rsid w:val="00847655"/>
    <w:rsid w:val="0084782A"/>
    <w:rsid w:val="008478A8"/>
    <w:rsid w:val="008478F8"/>
    <w:rsid w:val="00850093"/>
    <w:rsid w:val="008501C2"/>
    <w:rsid w:val="008502A9"/>
    <w:rsid w:val="008503DB"/>
    <w:rsid w:val="008506D1"/>
    <w:rsid w:val="008506DB"/>
    <w:rsid w:val="00850848"/>
    <w:rsid w:val="00850947"/>
    <w:rsid w:val="00850BD1"/>
    <w:rsid w:val="00850D0C"/>
    <w:rsid w:val="00850E71"/>
    <w:rsid w:val="00850FA1"/>
    <w:rsid w:val="0085136B"/>
    <w:rsid w:val="00851516"/>
    <w:rsid w:val="0085152F"/>
    <w:rsid w:val="0085155B"/>
    <w:rsid w:val="00851663"/>
    <w:rsid w:val="00851727"/>
    <w:rsid w:val="00851975"/>
    <w:rsid w:val="00851A9D"/>
    <w:rsid w:val="00851ACB"/>
    <w:rsid w:val="00851B7E"/>
    <w:rsid w:val="00851D63"/>
    <w:rsid w:val="00851F93"/>
    <w:rsid w:val="00852029"/>
    <w:rsid w:val="008521F8"/>
    <w:rsid w:val="0085221D"/>
    <w:rsid w:val="0085229D"/>
    <w:rsid w:val="008522EB"/>
    <w:rsid w:val="008523F1"/>
    <w:rsid w:val="0085240E"/>
    <w:rsid w:val="00852768"/>
    <w:rsid w:val="008529C5"/>
    <w:rsid w:val="00852B06"/>
    <w:rsid w:val="00852B32"/>
    <w:rsid w:val="00852B61"/>
    <w:rsid w:val="00852BBE"/>
    <w:rsid w:val="00852DA0"/>
    <w:rsid w:val="00852DAD"/>
    <w:rsid w:val="00852F8C"/>
    <w:rsid w:val="0085346E"/>
    <w:rsid w:val="008535C3"/>
    <w:rsid w:val="0085360C"/>
    <w:rsid w:val="00853830"/>
    <w:rsid w:val="00853E1A"/>
    <w:rsid w:val="00853FE9"/>
    <w:rsid w:val="00854016"/>
    <w:rsid w:val="008542EA"/>
    <w:rsid w:val="00854590"/>
    <w:rsid w:val="00854773"/>
    <w:rsid w:val="0085482D"/>
    <w:rsid w:val="00854944"/>
    <w:rsid w:val="00854B44"/>
    <w:rsid w:val="00855179"/>
    <w:rsid w:val="00855250"/>
    <w:rsid w:val="0085528C"/>
    <w:rsid w:val="00855290"/>
    <w:rsid w:val="00855307"/>
    <w:rsid w:val="008554D0"/>
    <w:rsid w:val="00855605"/>
    <w:rsid w:val="00855687"/>
    <w:rsid w:val="00855723"/>
    <w:rsid w:val="00855C03"/>
    <w:rsid w:val="00855C23"/>
    <w:rsid w:val="00855C83"/>
    <w:rsid w:val="00855C94"/>
    <w:rsid w:val="00855E3B"/>
    <w:rsid w:val="00855F8A"/>
    <w:rsid w:val="00856432"/>
    <w:rsid w:val="00856451"/>
    <w:rsid w:val="00856554"/>
    <w:rsid w:val="0085679B"/>
    <w:rsid w:val="008568C0"/>
    <w:rsid w:val="00856AFB"/>
    <w:rsid w:val="00856C3E"/>
    <w:rsid w:val="00856D59"/>
    <w:rsid w:val="00856D7C"/>
    <w:rsid w:val="00856DFD"/>
    <w:rsid w:val="00856E8D"/>
    <w:rsid w:val="00856EA9"/>
    <w:rsid w:val="00856F20"/>
    <w:rsid w:val="00856FAB"/>
    <w:rsid w:val="00856FD3"/>
    <w:rsid w:val="00856FE0"/>
    <w:rsid w:val="00856FEA"/>
    <w:rsid w:val="008570C1"/>
    <w:rsid w:val="008573D8"/>
    <w:rsid w:val="0085759C"/>
    <w:rsid w:val="00857831"/>
    <w:rsid w:val="0085792F"/>
    <w:rsid w:val="0085795A"/>
    <w:rsid w:val="008579C6"/>
    <w:rsid w:val="00857A7D"/>
    <w:rsid w:val="00857AF6"/>
    <w:rsid w:val="00857B39"/>
    <w:rsid w:val="00857BC2"/>
    <w:rsid w:val="00857CC7"/>
    <w:rsid w:val="00857F7C"/>
    <w:rsid w:val="008600D3"/>
    <w:rsid w:val="00860149"/>
    <w:rsid w:val="00860204"/>
    <w:rsid w:val="00860434"/>
    <w:rsid w:val="00860876"/>
    <w:rsid w:val="00860B42"/>
    <w:rsid w:val="00860C70"/>
    <w:rsid w:val="00860CC3"/>
    <w:rsid w:val="00860D1C"/>
    <w:rsid w:val="00860E3F"/>
    <w:rsid w:val="00860EE3"/>
    <w:rsid w:val="00861114"/>
    <w:rsid w:val="0086124B"/>
    <w:rsid w:val="00861359"/>
    <w:rsid w:val="00861396"/>
    <w:rsid w:val="008614AC"/>
    <w:rsid w:val="008615E2"/>
    <w:rsid w:val="008616BB"/>
    <w:rsid w:val="008616D2"/>
    <w:rsid w:val="00861956"/>
    <w:rsid w:val="00861C6E"/>
    <w:rsid w:val="00861C71"/>
    <w:rsid w:val="00861CC4"/>
    <w:rsid w:val="00861D4D"/>
    <w:rsid w:val="00861DD0"/>
    <w:rsid w:val="00861E34"/>
    <w:rsid w:val="00861E97"/>
    <w:rsid w:val="00861E9F"/>
    <w:rsid w:val="00862083"/>
    <w:rsid w:val="008620E1"/>
    <w:rsid w:val="008620FE"/>
    <w:rsid w:val="00862144"/>
    <w:rsid w:val="0086214B"/>
    <w:rsid w:val="008623D7"/>
    <w:rsid w:val="00862470"/>
    <w:rsid w:val="008624AF"/>
    <w:rsid w:val="00862520"/>
    <w:rsid w:val="00862524"/>
    <w:rsid w:val="00862576"/>
    <w:rsid w:val="0086257E"/>
    <w:rsid w:val="00862664"/>
    <w:rsid w:val="00862710"/>
    <w:rsid w:val="0086273B"/>
    <w:rsid w:val="0086284C"/>
    <w:rsid w:val="00862994"/>
    <w:rsid w:val="00862A57"/>
    <w:rsid w:val="00862B3E"/>
    <w:rsid w:val="00862B4A"/>
    <w:rsid w:val="00862C34"/>
    <w:rsid w:val="00862E2A"/>
    <w:rsid w:val="00862F2F"/>
    <w:rsid w:val="00862F43"/>
    <w:rsid w:val="00862FEB"/>
    <w:rsid w:val="008631CA"/>
    <w:rsid w:val="008631F3"/>
    <w:rsid w:val="0086327F"/>
    <w:rsid w:val="008632BB"/>
    <w:rsid w:val="008632DB"/>
    <w:rsid w:val="008637CC"/>
    <w:rsid w:val="008639F1"/>
    <w:rsid w:val="00863A0C"/>
    <w:rsid w:val="00863A85"/>
    <w:rsid w:val="00863B1C"/>
    <w:rsid w:val="00863C4B"/>
    <w:rsid w:val="00863E72"/>
    <w:rsid w:val="00863FC9"/>
    <w:rsid w:val="00864179"/>
    <w:rsid w:val="0086438B"/>
    <w:rsid w:val="0086451C"/>
    <w:rsid w:val="008648CD"/>
    <w:rsid w:val="008648FE"/>
    <w:rsid w:val="00864DA4"/>
    <w:rsid w:val="00864DD7"/>
    <w:rsid w:val="00864E7A"/>
    <w:rsid w:val="00865099"/>
    <w:rsid w:val="008650BC"/>
    <w:rsid w:val="00865254"/>
    <w:rsid w:val="008652B0"/>
    <w:rsid w:val="0086543F"/>
    <w:rsid w:val="008654AA"/>
    <w:rsid w:val="008658C6"/>
    <w:rsid w:val="00865970"/>
    <w:rsid w:val="00865C97"/>
    <w:rsid w:val="00865CB4"/>
    <w:rsid w:val="00866078"/>
    <w:rsid w:val="008661FD"/>
    <w:rsid w:val="00866337"/>
    <w:rsid w:val="00866509"/>
    <w:rsid w:val="0086652F"/>
    <w:rsid w:val="00866599"/>
    <w:rsid w:val="00866847"/>
    <w:rsid w:val="0086685B"/>
    <w:rsid w:val="0086695B"/>
    <w:rsid w:val="0086697C"/>
    <w:rsid w:val="0086697F"/>
    <w:rsid w:val="00866A33"/>
    <w:rsid w:val="00866AE1"/>
    <w:rsid w:val="00866BA4"/>
    <w:rsid w:val="00866C21"/>
    <w:rsid w:val="00866CB8"/>
    <w:rsid w:val="00866D8A"/>
    <w:rsid w:val="00866EF5"/>
    <w:rsid w:val="00866F9B"/>
    <w:rsid w:val="008670D2"/>
    <w:rsid w:val="00867184"/>
    <w:rsid w:val="008671BA"/>
    <w:rsid w:val="00867220"/>
    <w:rsid w:val="0086732F"/>
    <w:rsid w:val="00867395"/>
    <w:rsid w:val="00867732"/>
    <w:rsid w:val="00867789"/>
    <w:rsid w:val="00867821"/>
    <w:rsid w:val="00867835"/>
    <w:rsid w:val="00867895"/>
    <w:rsid w:val="00867A4C"/>
    <w:rsid w:val="00867B50"/>
    <w:rsid w:val="00867FC6"/>
    <w:rsid w:val="00870496"/>
    <w:rsid w:val="008706CF"/>
    <w:rsid w:val="00870834"/>
    <w:rsid w:val="008708FB"/>
    <w:rsid w:val="008709AB"/>
    <w:rsid w:val="00870AB2"/>
    <w:rsid w:val="00870B97"/>
    <w:rsid w:val="00870CCA"/>
    <w:rsid w:val="00870D98"/>
    <w:rsid w:val="00871036"/>
    <w:rsid w:val="0087105D"/>
    <w:rsid w:val="008711E8"/>
    <w:rsid w:val="00871512"/>
    <w:rsid w:val="008715A3"/>
    <w:rsid w:val="008715F9"/>
    <w:rsid w:val="0087163B"/>
    <w:rsid w:val="00871686"/>
    <w:rsid w:val="00871892"/>
    <w:rsid w:val="0087190E"/>
    <w:rsid w:val="008719AC"/>
    <w:rsid w:val="00871A2D"/>
    <w:rsid w:val="00871AB0"/>
    <w:rsid w:val="00871AD0"/>
    <w:rsid w:val="00871B3F"/>
    <w:rsid w:val="00871BFE"/>
    <w:rsid w:val="00871C7F"/>
    <w:rsid w:val="00871D24"/>
    <w:rsid w:val="00871E47"/>
    <w:rsid w:val="008720A2"/>
    <w:rsid w:val="008720A7"/>
    <w:rsid w:val="0087213E"/>
    <w:rsid w:val="008722D8"/>
    <w:rsid w:val="008723C8"/>
    <w:rsid w:val="008723E3"/>
    <w:rsid w:val="00872434"/>
    <w:rsid w:val="00872444"/>
    <w:rsid w:val="0087246B"/>
    <w:rsid w:val="008726AF"/>
    <w:rsid w:val="0087275B"/>
    <w:rsid w:val="008727CE"/>
    <w:rsid w:val="00872832"/>
    <w:rsid w:val="00872A22"/>
    <w:rsid w:val="00872AB5"/>
    <w:rsid w:val="00872AD0"/>
    <w:rsid w:val="00872BB1"/>
    <w:rsid w:val="00872CE6"/>
    <w:rsid w:val="00872DDF"/>
    <w:rsid w:val="00872DE0"/>
    <w:rsid w:val="00872E2D"/>
    <w:rsid w:val="00872E70"/>
    <w:rsid w:val="00872ED5"/>
    <w:rsid w:val="00873371"/>
    <w:rsid w:val="00873427"/>
    <w:rsid w:val="008734BB"/>
    <w:rsid w:val="0087355E"/>
    <w:rsid w:val="00873657"/>
    <w:rsid w:val="00873716"/>
    <w:rsid w:val="00873734"/>
    <w:rsid w:val="00873E42"/>
    <w:rsid w:val="00873F27"/>
    <w:rsid w:val="0087413F"/>
    <w:rsid w:val="008743C8"/>
    <w:rsid w:val="008744D1"/>
    <w:rsid w:val="0087466C"/>
    <w:rsid w:val="008746FE"/>
    <w:rsid w:val="00874D6C"/>
    <w:rsid w:val="00874E3F"/>
    <w:rsid w:val="00874ECD"/>
    <w:rsid w:val="00874F0E"/>
    <w:rsid w:val="008750AA"/>
    <w:rsid w:val="008751AD"/>
    <w:rsid w:val="008751D8"/>
    <w:rsid w:val="00875293"/>
    <w:rsid w:val="008752D1"/>
    <w:rsid w:val="00875639"/>
    <w:rsid w:val="00875650"/>
    <w:rsid w:val="008758AE"/>
    <w:rsid w:val="008758EC"/>
    <w:rsid w:val="00875C0A"/>
    <w:rsid w:val="00875C35"/>
    <w:rsid w:val="00875C90"/>
    <w:rsid w:val="00875CD7"/>
    <w:rsid w:val="00875E2E"/>
    <w:rsid w:val="00875E8D"/>
    <w:rsid w:val="00875FA3"/>
    <w:rsid w:val="008763DC"/>
    <w:rsid w:val="008763F1"/>
    <w:rsid w:val="008764D2"/>
    <w:rsid w:val="008769EB"/>
    <w:rsid w:val="00876A24"/>
    <w:rsid w:val="00876A79"/>
    <w:rsid w:val="00876B43"/>
    <w:rsid w:val="00876CD1"/>
    <w:rsid w:val="00876D49"/>
    <w:rsid w:val="00876E94"/>
    <w:rsid w:val="00876F4E"/>
    <w:rsid w:val="00876F8A"/>
    <w:rsid w:val="00877196"/>
    <w:rsid w:val="0087720A"/>
    <w:rsid w:val="00877279"/>
    <w:rsid w:val="00877302"/>
    <w:rsid w:val="0087732B"/>
    <w:rsid w:val="00877356"/>
    <w:rsid w:val="0087736F"/>
    <w:rsid w:val="00877431"/>
    <w:rsid w:val="00877571"/>
    <w:rsid w:val="008775A8"/>
    <w:rsid w:val="00877646"/>
    <w:rsid w:val="00877742"/>
    <w:rsid w:val="0087788E"/>
    <w:rsid w:val="00877A65"/>
    <w:rsid w:val="00877AEE"/>
    <w:rsid w:val="00877D46"/>
    <w:rsid w:val="00877F07"/>
    <w:rsid w:val="008800C0"/>
    <w:rsid w:val="008800F5"/>
    <w:rsid w:val="00880190"/>
    <w:rsid w:val="00880255"/>
    <w:rsid w:val="00880307"/>
    <w:rsid w:val="0088033F"/>
    <w:rsid w:val="00880375"/>
    <w:rsid w:val="008803F6"/>
    <w:rsid w:val="008804AA"/>
    <w:rsid w:val="00880732"/>
    <w:rsid w:val="00880828"/>
    <w:rsid w:val="00880A54"/>
    <w:rsid w:val="00880B01"/>
    <w:rsid w:val="00880B48"/>
    <w:rsid w:val="00880B8D"/>
    <w:rsid w:val="00880C9A"/>
    <w:rsid w:val="00880D7F"/>
    <w:rsid w:val="00880D8E"/>
    <w:rsid w:val="008811FA"/>
    <w:rsid w:val="00881369"/>
    <w:rsid w:val="00881494"/>
    <w:rsid w:val="008815CF"/>
    <w:rsid w:val="0088161A"/>
    <w:rsid w:val="0088165E"/>
    <w:rsid w:val="0088182B"/>
    <w:rsid w:val="00881925"/>
    <w:rsid w:val="008819C3"/>
    <w:rsid w:val="00881BB0"/>
    <w:rsid w:val="00881C4B"/>
    <w:rsid w:val="00881D63"/>
    <w:rsid w:val="00881E7B"/>
    <w:rsid w:val="00881ECE"/>
    <w:rsid w:val="00881F04"/>
    <w:rsid w:val="00881FE6"/>
    <w:rsid w:val="00882081"/>
    <w:rsid w:val="008821A2"/>
    <w:rsid w:val="008822D7"/>
    <w:rsid w:val="00882471"/>
    <w:rsid w:val="00882599"/>
    <w:rsid w:val="0088263A"/>
    <w:rsid w:val="00882678"/>
    <w:rsid w:val="00882828"/>
    <w:rsid w:val="00882907"/>
    <w:rsid w:val="00882912"/>
    <w:rsid w:val="00882E7B"/>
    <w:rsid w:val="00882EB6"/>
    <w:rsid w:val="008830BC"/>
    <w:rsid w:val="008831FB"/>
    <w:rsid w:val="00883246"/>
    <w:rsid w:val="008833EA"/>
    <w:rsid w:val="0088349B"/>
    <w:rsid w:val="00883573"/>
    <w:rsid w:val="008838CF"/>
    <w:rsid w:val="00883B19"/>
    <w:rsid w:val="00883DCD"/>
    <w:rsid w:val="00883E80"/>
    <w:rsid w:val="00883EA8"/>
    <w:rsid w:val="00883EC5"/>
    <w:rsid w:val="00883FF3"/>
    <w:rsid w:val="008840FC"/>
    <w:rsid w:val="008841EA"/>
    <w:rsid w:val="008843E5"/>
    <w:rsid w:val="00884430"/>
    <w:rsid w:val="00884471"/>
    <w:rsid w:val="00884479"/>
    <w:rsid w:val="0088447C"/>
    <w:rsid w:val="0088448F"/>
    <w:rsid w:val="0088450E"/>
    <w:rsid w:val="008845ED"/>
    <w:rsid w:val="00884A86"/>
    <w:rsid w:val="00884C0D"/>
    <w:rsid w:val="00884C21"/>
    <w:rsid w:val="00884E16"/>
    <w:rsid w:val="00884F90"/>
    <w:rsid w:val="0088500E"/>
    <w:rsid w:val="008850A7"/>
    <w:rsid w:val="008851A1"/>
    <w:rsid w:val="0088524F"/>
    <w:rsid w:val="008852A5"/>
    <w:rsid w:val="00885324"/>
    <w:rsid w:val="00885327"/>
    <w:rsid w:val="00885335"/>
    <w:rsid w:val="00885445"/>
    <w:rsid w:val="00885750"/>
    <w:rsid w:val="00885950"/>
    <w:rsid w:val="00885A4B"/>
    <w:rsid w:val="00885AB0"/>
    <w:rsid w:val="00885BD9"/>
    <w:rsid w:val="00885D90"/>
    <w:rsid w:val="00885D9A"/>
    <w:rsid w:val="00885E5F"/>
    <w:rsid w:val="00886187"/>
    <w:rsid w:val="0088631B"/>
    <w:rsid w:val="008864FD"/>
    <w:rsid w:val="00886511"/>
    <w:rsid w:val="008866D0"/>
    <w:rsid w:val="008868A9"/>
    <w:rsid w:val="008869A1"/>
    <w:rsid w:val="00886B4F"/>
    <w:rsid w:val="00886DEC"/>
    <w:rsid w:val="00887089"/>
    <w:rsid w:val="008871A3"/>
    <w:rsid w:val="00887200"/>
    <w:rsid w:val="00887475"/>
    <w:rsid w:val="00887695"/>
    <w:rsid w:val="00887696"/>
    <w:rsid w:val="00887721"/>
    <w:rsid w:val="0088784D"/>
    <w:rsid w:val="008878D8"/>
    <w:rsid w:val="00887929"/>
    <w:rsid w:val="008879D9"/>
    <w:rsid w:val="00887C70"/>
    <w:rsid w:val="00887DD0"/>
    <w:rsid w:val="00887EE6"/>
    <w:rsid w:val="00887F9B"/>
    <w:rsid w:val="00890043"/>
    <w:rsid w:val="00890118"/>
    <w:rsid w:val="0089012B"/>
    <w:rsid w:val="00890271"/>
    <w:rsid w:val="008902B3"/>
    <w:rsid w:val="008902D5"/>
    <w:rsid w:val="00890406"/>
    <w:rsid w:val="00890520"/>
    <w:rsid w:val="0089055C"/>
    <w:rsid w:val="008906D6"/>
    <w:rsid w:val="00890855"/>
    <w:rsid w:val="00891019"/>
    <w:rsid w:val="00891155"/>
    <w:rsid w:val="008911A9"/>
    <w:rsid w:val="0089144D"/>
    <w:rsid w:val="008915C9"/>
    <w:rsid w:val="0089170B"/>
    <w:rsid w:val="0089177D"/>
    <w:rsid w:val="00891A38"/>
    <w:rsid w:val="00891E01"/>
    <w:rsid w:val="00891E7F"/>
    <w:rsid w:val="008923EC"/>
    <w:rsid w:val="008924D2"/>
    <w:rsid w:val="008926DF"/>
    <w:rsid w:val="008926F6"/>
    <w:rsid w:val="008928DE"/>
    <w:rsid w:val="00892B72"/>
    <w:rsid w:val="00892BA6"/>
    <w:rsid w:val="00892CF7"/>
    <w:rsid w:val="00892DEA"/>
    <w:rsid w:val="00892EE4"/>
    <w:rsid w:val="00892F1B"/>
    <w:rsid w:val="00892F1C"/>
    <w:rsid w:val="00893049"/>
    <w:rsid w:val="008935F2"/>
    <w:rsid w:val="0089360F"/>
    <w:rsid w:val="00893627"/>
    <w:rsid w:val="008937B4"/>
    <w:rsid w:val="00893895"/>
    <w:rsid w:val="008938B8"/>
    <w:rsid w:val="008939B7"/>
    <w:rsid w:val="00893ABC"/>
    <w:rsid w:val="008940C1"/>
    <w:rsid w:val="00894135"/>
    <w:rsid w:val="008941CB"/>
    <w:rsid w:val="00894214"/>
    <w:rsid w:val="00894483"/>
    <w:rsid w:val="008944F5"/>
    <w:rsid w:val="008946E3"/>
    <w:rsid w:val="008947BB"/>
    <w:rsid w:val="00894A80"/>
    <w:rsid w:val="00894ACE"/>
    <w:rsid w:val="00894C7F"/>
    <w:rsid w:val="00894DC2"/>
    <w:rsid w:val="00894EE6"/>
    <w:rsid w:val="00894FFF"/>
    <w:rsid w:val="00895090"/>
    <w:rsid w:val="00895345"/>
    <w:rsid w:val="008954CC"/>
    <w:rsid w:val="00895A09"/>
    <w:rsid w:val="00895A7D"/>
    <w:rsid w:val="00895AC2"/>
    <w:rsid w:val="00895AFF"/>
    <w:rsid w:val="00895C74"/>
    <w:rsid w:val="00895CED"/>
    <w:rsid w:val="00895D8C"/>
    <w:rsid w:val="00895D96"/>
    <w:rsid w:val="00895DA7"/>
    <w:rsid w:val="00895DD1"/>
    <w:rsid w:val="00895F00"/>
    <w:rsid w:val="0089650B"/>
    <w:rsid w:val="00896615"/>
    <w:rsid w:val="008966BE"/>
    <w:rsid w:val="00896733"/>
    <w:rsid w:val="008967F1"/>
    <w:rsid w:val="00896A2E"/>
    <w:rsid w:val="00896A60"/>
    <w:rsid w:val="00896A73"/>
    <w:rsid w:val="00896B18"/>
    <w:rsid w:val="00896B28"/>
    <w:rsid w:val="00896CDE"/>
    <w:rsid w:val="00896CE5"/>
    <w:rsid w:val="00896D19"/>
    <w:rsid w:val="0089723D"/>
    <w:rsid w:val="0089749C"/>
    <w:rsid w:val="008978F8"/>
    <w:rsid w:val="0089794A"/>
    <w:rsid w:val="00897D14"/>
    <w:rsid w:val="00897E16"/>
    <w:rsid w:val="008A007F"/>
    <w:rsid w:val="008A03AE"/>
    <w:rsid w:val="008A0479"/>
    <w:rsid w:val="008A053C"/>
    <w:rsid w:val="008A0674"/>
    <w:rsid w:val="008A0731"/>
    <w:rsid w:val="008A079D"/>
    <w:rsid w:val="008A07E0"/>
    <w:rsid w:val="008A0A6D"/>
    <w:rsid w:val="008A0BA8"/>
    <w:rsid w:val="008A0BB8"/>
    <w:rsid w:val="008A0C3D"/>
    <w:rsid w:val="008A0CD9"/>
    <w:rsid w:val="008A0EBD"/>
    <w:rsid w:val="008A10C3"/>
    <w:rsid w:val="008A12E0"/>
    <w:rsid w:val="008A14F9"/>
    <w:rsid w:val="008A1528"/>
    <w:rsid w:val="008A16AB"/>
    <w:rsid w:val="008A16B2"/>
    <w:rsid w:val="008A1818"/>
    <w:rsid w:val="008A18AF"/>
    <w:rsid w:val="008A1B3B"/>
    <w:rsid w:val="008A2093"/>
    <w:rsid w:val="008A20BE"/>
    <w:rsid w:val="008A2288"/>
    <w:rsid w:val="008A22E8"/>
    <w:rsid w:val="008A233E"/>
    <w:rsid w:val="008A23AE"/>
    <w:rsid w:val="008A23CF"/>
    <w:rsid w:val="008A2585"/>
    <w:rsid w:val="008A277C"/>
    <w:rsid w:val="008A290B"/>
    <w:rsid w:val="008A2AAD"/>
    <w:rsid w:val="008A2AFD"/>
    <w:rsid w:val="008A2C12"/>
    <w:rsid w:val="008A2D20"/>
    <w:rsid w:val="008A2D7B"/>
    <w:rsid w:val="008A3292"/>
    <w:rsid w:val="008A32AD"/>
    <w:rsid w:val="008A372B"/>
    <w:rsid w:val="008A37DC"/>
    <w:rsid w:val="008A3B54"/>
    <w:rsid w:val="008A3EC7"/>
    <w:rsid w:val="008A3ECE"/>
    <w:rsid w:val="008A3F0B"/>
    <w:rsid w:val="008A3F11"/>
    <w:rsid w:val="008A3FA3"/>
    <w:rsid w:val="008A42FD"/>
    <w:rsid w:val="008A4385"/>
    <w:rsid w:val="008A461A"/>
    <w:rsid w:val="008A47BE"/>
    <w:rsid w:val="008A4A63"/>
    <w:rsid w:val="008A4B4D"/>
    <w:rsid w:val="008A4B9E"/>
    <w:rsid w:val="008A4BE8"/>
    <w:rsid w:val="008A4C76"/>
    <w:rsid w:val="008A4CB3"/>
    <w:rsid w:val="008A4FA9"/>
    <w:rsid w:val="008A5073"/>
    <w:rsid w:val="008A5090"/>
    <w:rsid w:val="008A50EA"/>
    <w:rsid w:val="008A50F9"/>
    <w:rsid w:val="008A519B"/>
    <w:rsid w:val="008A521D"/>
    <w:rsid w:val="008A52AF"/>
    <w:rsid w:val="008A52F6"/>
    <w:rsid w:val="008A54A6"/>
    <w:rsid w:val="008A571A"/>
    <w:rsid w:val="008A576D"/>
    <w:rsid w:val="008A5902"/>
    <w:rsid w:val="008A5935"/>
    <w:rsid w:val="008A5991"/>
    <w:rsid w:val="008A5A80"/>
    <w:rsid w:val="008A5BD2"/>
    <w:rsid w:val="008A5D11"/>
    <w:rsid w:val="008A5D33"/>
    <w:rsid w:val="008A5D8A"/>
    <w:rsid w:val="008A5E99"/>
    <w:rsid w:val="008A6190"/>
    <w:rsid w:val="008A6195"/>
    <w:rsid w:val="008A6279"/>
    <w:rsid w:val="008A62D7"/>
    <w:rsid w:val="008A6311"/>
    <w:rsid w:val="008A6342"/>
    <w:rsid w:val="008A64B7"/>
    <w:rsid w:val="008A66E3"/>
    <w:rsid w:val="008A6868"/>
    <w:rsid w:val="008A691D"/>
    <w:rsid w:val="008A69AD"/>
    <w:rsid w:val="008A6A00"/>
    <w:rsid w:val="008A6CC3"/>
    <w:rsid w:val="008A7345"/>
    <w:rsid w:val="008A7497"/>
    <w:rsid w:val="008A7639"/>
    <w:rsid w:val="008A7869"/>
    <w:rsid w:val="008A7A7C"/>
    <w:rsid w:val="008A7C65"/>
    <w:rsid w:val="008A7CF0"/>
    <w:rsid w:val="008B007C"/>
    <w:rsid w:val="008B0186"/>
    <w:rsid w:val="008B0394"/>
    <w:rsid w:val="008B03A0"/>
    <w:rsid w:val="008B03E0"/>
    <w:rsid w:val="008B0475"/>
    <w:rsid w:val="008B04AE"/>
    <w:rsid w:val="008B0680"/>
    <w:rsid w:val="008B07DD"/>
    <w:rsid w:val="008B0891"/>
    <w:rsid w:val="008B0957"/>
    <w:rsid w:val="008B0A0D"/>
    <w:rsid w:val="008B0AAD"/>
    <w:rsid w:val="008B0B3A"/>
    <w:rsid w:val="008B0B63"/>
    <w:rsid w:val="008B0CAA"/>
    <w:rsid w:val="008B0EC1"/>
    <w:rsid w:val="008B1797"/>
    <w:rsid w:val="008B181A"/>
    <w:rsid w:val="008B1B91"/>
    <w:rsid w:val="008B1C2F"/>
    <w:rsid w:val="008B1ED3"/>
    <w:rsid w:val="008B2057"/>
    <w:rsid w:val="008B2058"/>
    <w:rsid w:val="008B2096"/>
    <w:rsid w:val="008B213E"/>
    <w:rsid w:val="008B2219"/>
    <w:rsid w:val="008B22A3"/>
    <w:rsid w:val="008B23D0"/>
    <w:rsid w:val="008B24AF"/>
    <w:rsid w:val="008B25C6"/>
    <w:rsid w:val="008B264E"/>
    <w:rsid w:val="008B281D"/>
    <w:rsid w:val="008B2837"/>
    <w:rsid w:val="008B2985"/>
    <w:rsid w:val="008B2A49"/>
    <w:rsid w:val="008B2B76"/>
    <w:rsid w:val="008B2D93"/>
    <w:rsid w:val="008B2EF1"/>
    <w:rsid w:val="008B2F29"/>
    <w:rsid w:val="008B2F57"/>
    <w:rsid w:val="008B2F6D"/>
    <w:rsid w:val="008B3048"/>
    <w:rsid w:val="008B32A4"/>
    <w:rsid w:val="008B32C9"/>
    <w:rsid w:val="008B330F"/>
    <w:rsid w:val="008B337E"/>
    <w:rsid w:val="008B3467"/>
    <w:rsid w:val="008B37FD"/>
    <w:rsid w:val="008B38A8"/>
    <w:rsid w:val="008B397F"/>
    <w:rsid w:val="008B3C81"/>
    <w:rsid w:val="008B3D40"/>
    <w:rsid w:val="008B3EC5"/>
    <w:rsid w:val="008B4065"/>
    <w:rsid w:val="008B4168"/>
    <w:rsid w:val="008B43FD"/>
    <w:rsid w:val="008B4589"/>
    <w:rsid w:val="008B4653"/>
    <w:rsid w:val="008B46BC"/>
    <w:rsid w:val="008B4712"/>
    <w:rsid w:val="008B487C"/>
    <w:rsid w:val="008B4A0F"/>
    <w:rsid w:val="008B4A6F"/>
    <w:rsid w:val="008B4BE1"/>
    <w:rsid w:val="008B4D36"/>
    <w:rsid w:val="008B4DCA"/>
    <w:rsid w:val="008B4E16"/>
    <w:rsid w:val="008B4E5F"/>
    <w:rsid w:val="008B4F38"/>
    <w:rsid w:val="008B4F9A"/>
    <w:rsid w:val="008B500A"/>
    <w:rsid w:val="008B506F"/>
    <w:rsid w:val="008B5298"/>
    <w:rsid w:val="008B57E4"/>
    <w:rsid w:val="008B58D7"/>
    <w:rsid w:val="008B59B3"/>
    <w:rsid w:val="008B5AB7"/>
    <w:rsid w:val="008B5BE2"/>
    <w:rsid w:val="008B5C1E"/>
    <w:rsid w:val="008B5CDB"/>
    <w:rsid w:val="008B5D51"/>
    <w:rsid w:val="008B5D87"/>
    <w:rsid w:val="008B5F10"/>
    <w:rsid w:val="008B5F12"/>
    <w:rsid w:val="008B62AF"/>
    <w:rsid w:val="008B6379"/>
    <w:rsid w:val="008B656A"/>
    <w:rsid w:val="008B669C"/>
    <w:rsid w:val="008B66E9"/>
    <w:rsid w:val="008B6748"/>
    <w:rsid w:val="008B67B6"/>
    <w:rsid w:val="008B68EB"/>
    <w:rsid w:val="008B68F8"/>
    <w:rsid w:val="008B6947"/>
    <w:rsid w:val="008B6A14"/>
    <w:rsid w:val="008B6AA1"/>
    <w:rsid w:val="008B6D4D"/>
    <w:rsid w:val="008B6EEB"/>
    <w:rsid w:val="008B6F93"/>
    <w:rsid w:val="008B7217"/>
    <w:rsid w:val="008B73A9"/>
    <w:rsid w:val="008B74B3"/>
    <w:rsid w:val="008B74C3"/>
    <w:rsid w:val="008B76E0"/>
    <w:rsid w:val="008B7811"/>
    <w:rsid w:val="008B7A17"/>
    <w:rsid w:val="008B7A2E"/>
    <w:rsid w:val="008B7ABB"/>
    <w:rsid w:val="008B7B79"/>
    <w:rsid w:val="008B7CD9"/>
    <w:rsid w:val="008B7F94"/>
    <w:rsid w:val="008B7FB1"/>
    <w:rsid w:val="008C0067"/>
    <w:rsid w:val="008C04C6"/>
    <w:rsid w:val="008C08B9"/>
    <w:rsid w:val="008C0B02"/>
    <w:rsid w:val="008C0C87"/>
    <w:rsid w:val="008C0D1A"/>
    <w:rsid w:val="008C0DBF"/>
    <w:rsid w:val="008C0E51"/>
    <w:rsid w:val="008C131F"/>
    <w:rsid w:val="008C133D"/>
    <w:rsid w:val="008C141F"/>
    <w:rsid w:val="008C14D8"/>
    <w:rsid w:val="008C169B"/>
    <w:rsid w:val="008C188E"/>
    <w:rsid w:val="008C19D6"/>
    <w:rsid w:val="008C1B48"/>
    <w:rsid w:val="008C1C88"/>
    <w:rsid w:val="008C1DF6"/>
    <w:rsid w:val="008C20AE"/>
    <w:rsid w:val="008C2143"/>
    <w:rsid w:val="008C214A"/>
    <w:rsid w:val="008C22B9"/>
    <w:rsid w:val="008C230C"/>
    <w:rsid w:val="008C2314"/>
    <w:rsid w:val="008C24AE"/>
    <w:rsid w:val="008C2723"/>
    <w:rsid w:val="008C2A05"/>
    <w:rsid w:val="008C2AA5"/>
    <w:rsid w:val="008C2BAD"/>
    <w:rsid w:val="008C2C7A"/>
    <w:rsid w:val="008C2E9C"/>
    <w:rsid w:val="008C2EBD"/>
    <w:rsid w:val="008C31EA"/>
    <w:rsid w:val="008C3281"/>
    <w:rsid w:val="008C34C7"/>
    <w:rsid w:val="008C37AA"/>
    <w:rsid w:val="008C38F4"/>
    <w:rsid w:val="008C3928"/>
    <w:rsid w:val="008C3982"/>
    <w:rsid w:val="008C3A70"/>
    <w:rsid w:val="008C3B79"/>
    <w:rsid w:val="008C3C46"/>
    <w:rsid w:val="008C3D64"/>
    <w:rsid w:val="008C4175"/>
    <w:rsid w:val="008C4256"/>
    <w:rsid w:val="008C4301"/>
    <w:rsid w:val="008C4656"/>
    <w:rsid w:val="008C49CA"/>
    <w:rsid w:val="008C4A57"/>
    <w:rsid w:val="008C4B51"/>
    <w:rsid w:val="008C4B67"/>
    <w:rsid w:val="008C4C33"/>
    <w:rsid w:val="008C4C37"/>
    <w:rsid w:val="008C4C8D"/>
    <w:rsid w:val="008C4D8A"/>
    <w:rsid w:val="008C4DE0"/>
    <w:rsid w:val="008C4FC1"/>
    <w:rsid w:val="008C51E4"/>
    <w:rsid w:val="008C5245"/>
    <w:rsid w:val="008C5356"/>
    <w:rsid w:val="008C559A"/>
    <w:rsid w:val="008C57A2"/>
    <w:rsid w:val="008C5A22"/>
    <w:rsid w:val="008C5B4A"/>
    <w:rsid w:val="008C5B5F"/>
    <w:rsid w:val="008C5C4C"/>
    <w:rsid w:val="008C5E4C"/>
    <w:rsid w:val="008C5E5E"/>
    <w:rsid w:val="008C6099"/>
    <w:rsid w:val="008C6235"/>
    <w:rsid w:val="008C6456"/>
    <w:rsid w:val="008C667D"/>
    <w:rsid w:val="008C67A1"/>
    <w:rsid w:val="008C67DB"/>
    <w:rsid w:val="008C6921"/>
    <w:rsid w:val="008C69DB"/>
    <w:rsid w:val="008C6A6B"/>
    <w:rsid w:val="008C6E09"/>
    <w:rsid w:val="008C6E88"/>
    <w:rsid w:val="008C6F2B"/>
    <w:rsid w:val="008C6FAC"/>
    <w:rsid w:val="008C702D"/>
    <w:rsid w:val="008C70CB"/>
    <w:rsid w:val="008C734A"/>
    <w:rsid w:val="008C748A"/>
    <w:rsid w:val="008C764B"/>
    <w:rsid w:val="008C765B"/>
    <w:rsid w:val="008C76B6"/>
    <w:rsid w:val="008C76FA"/>
    <w:rsid w:val="008C7899"/>
    <w:rsid w:val="008C78CD"/>
    <w:rsid w:val="008C79A7"/>
    <w:rsid w:val="008C7B68"/>
    <w:rsid w:val="008C7BB6"/>
    <w:rsid w:val="008C7C43"/>
    <w:rsid w:val="008C7CED"/>
    <w:rsid w:val="008C7D1C"/>
    <w:rsid w:val="008D013E"/>
    <w:rsid w:val="008D0206"/>
    <w:rsid w:val="008D026D"/>
    <w:rsid w:val="008D034C"/>
    <w:rsid w:val="008D0375"/>
    <w:rsid w:val="008D03E4"/>
    <w:rsid w:val="008D0565"/>
    <w:rsid w:val="008D087C"/>
    <w:rsid w:val="008D093E"/>
    <w:rsid w:val="008D0A25"/>
    <w:rsid w:val="008D0A3F"/>
    <w:rsid w:val="008D0A44"/>
    <w:rsid w:val="008D0B10"/>
    <w:rsid w:val="008D0B74"/>
    <w:rsid w:val="008D0E7A"/>
    <w:rsid w:val="008D0F94"/>
    <w:rsid w:val="008D10AF"/>
    <w:rsid w:val="008D1106"/>
    <w:rsid w:val="008D1128"/>
    <w:rsid w:val="008D1170"/>
    <w:rsid w:val="008D1260"/>
    <w:rsid w:val="008D1315"/>
    <w:rsid w:val="008D15BE"/>
    <w:rsid w:val="008D16DF"/>
    <w:rsid w:val="008D18C6"/>
    <w:rsid w:val="008D18FF"/>
    <w:rsid w:val="008D195D"/>
    <w:rsid w:val="008D19C6"/>
    <w:rsid w:val="008D19D3"/>
    <w:rsid w:val="008D1A9B"/>
    <w:rsid w:val="008D1C36"/>
    <w:rsid w:val="008D1E41"/>
    <w:rsid w:val="008D1EAA"/>
    <w:rsid w:val="008D2000"/>
    <w:rsid w:val="008D2048"/>
    <w:rsid w:val="008D2056"/>
    <w:rsid w:val="008D2059"/>
    <w:rsid w:val="008D205D"/>
    <w:rsid w:val="008D255B"/>
    <w:rsid w:val="008D26C1"/>
    <w:rsid w:val="008D26F9"/>
    <w:rsid w:val="008D28FE"/>
    <w:rsid w:val="008D2B3B"/>
    <w:rsid w:val="008D2D41"/>
    <w:rsid w:val="008D2F62"/>
    <w:rsid w:val="008D2FC7"/>
    <w:rsid w:val="008D3043"/>
    <w:rsid w:val="008D3044"/>
    <w:rsid w:val="008D30EC"/>
    <w:rsid w:val="008D31DA"/>
    <w:rsid w:val="008D3206"/>
    <w:rsid w:val="008D3260"/>
    <w:rsid w:val="008D34CA"/>
    <w:rsid w:val="008D366A"/>
    <w:rsid w:val="008D36FB"/>
    <w:rsid w:val="008D38CF"/>
    <w:rsid w:val="008D3967"/>
    <w:rsid w:val="008D39E5"/>
    <w:rsid w:val="008D3C3F"/>
    <w:rsid w:val="008D3C60"/>
    <w:rsid w:val="008D3D08"/>
    <w:rsid w:val="008D3F2A"/>
    <w:rsid w:val="008D3F7D"/>
    <w:rsid w:val="008D40E2"/>
    <w:rsid w:val="008D41E7"/>
    <w:rsid w:val="008D431D"/>
    <w:rsid w:val="008D43D2"/>
    <w:rsid w:val="008D43F9"/>
    <w:rsid w:val="008D446F"/>
    <w:rsid w:val="008D4488"/>
    <w:rsid w:val="008D44C0"/>
    <w:rsid w:val="008D4628"/>
    <w:rsid w:val="008D482E"/>
    <w:rsid w:val="008D4A51"/>
    <w:rsid w:val="008D4BBE"/>
    <w:rsid w:val="008D51AA"/>
    <w:rsid w:val="008D51F1"/>
    <w:rsid w:val="008D529B"/>
    <w:rsid w:val="008D5307"/>
    <w:rsid w:val="008D5385"/>
    <w:rsid w:val="008D539B"/>
    <w:rsid w:val="008D541A"/>
    <w:rsid w:val="008D55B3"/>
    <w:rsid w:val="008D5918"/>
    <w:rsid w:val="008D59FF"/>
    <w:rsid w:val="008D5D07"/>
    <w:rsid w:val="008D5F68"/>
    <w:rsid w:val="008D5F93"/>
    <w:rsid w:val="008D61B8"/>
    <w:rsid w:val="008D6242"/>
    <w:rsid w:val="008D626E"/>
    <w:rsid w:val="008D6377"/>
    <w:rsid w:val="008D6402"/>
    <w:rsid w:val="008D64E2"/>
    <w:rsid w:val="008D6513"/>
    <w:rsid w:val="008D6647"/>
    <w:rsid w:val="008D66F2"/>
    <w:rsid w:val="008D678D"/>
    <w:rsid w:val="008D67E0"/>
    <w:rsid w:val="008D6927"/>
    <w:rsid w:val="008D6946"/>
    <w:rsid w:val="008D696C"/>
    <w:rsid w:val="008D69E9"/>
    <w:rsid w:val="008D6A92"/>
    <w:rsid w:val="008D6B27"/>
    <w:rsid w:val="008D6B3E"/>
    <w:rsid w:val="008D6E72"/>
    <w:rsid w:val="008D6F12"/>
    <w:rsid w:val="008D7142"/>
    <w:rsid w:val="008D72DE"/>
    <w:rsid w:val="008D72F2"/>
    <w:rsid w:val="008D7452"/>
    <w:rsid w:val="008D7497"/>
    <w:rsid w:val="008D76A3"/>
    <w:rsid w:val="008D77E0"/>
    <w:rsid w:val="008D793A"/>
    <w:rsid w:val="008D7996"/>
    <w:rsid w:val="008D7DC6"/>
    <w:rsid w:val="008E0076"/>
    <w:rsid w:val="008E013A"/>
    <w:rsid w:val="008E0169"/>
    <w:rsid w:val="008E0198"/>
    <w:rsid w:val="008E01B4"/>
    <w:rsid w:val="008E04D4"/>
    <w:rsid w:val="008E04FE"/>
    <w:rsid w:val="008E066A"/>
    <w:rsid w:val="008E06CF"/>
    <w:rsid w:val="008E0704"/>
    <w:rsid w:val="008E071E"/>
    <w:rsid w:val="008E0817"/>
    <w:rsid w:val="008E0A2F"/>
    <w:rsid w:val="008E0ABB"/>
    <w:rsid w:val="008E0AD4"/>
    <w:rsid w:val="008E0B16"/>
    <w:rsid w:val="008E0BE3"/>
    <w:rsid w:val="008E0D4F"/>
    <w:rsid w:val="008E0DAE"/>
    <w:rsid w:val="008E0F79"/>
    <w:rsid w:val="008E103A"/>
    <w:rsid w:val="008E118F"/>
    <w:rsid w:val="008E1276"/>
    <w:rsid w:val="008E1336"/>
    <w:rsid w:val="008E1395"/>
    <w:rsid w:val="008E1418"/>
    <w:rsid w:val="008E1483"/>
    <w:rsid w:val="008E153B"/>
    <w:rsid w:val="008E1620"/>
    <w:rsid w:val="008E174F"/>
    <w:rsid w:val="008E1833"/>
    <w:rsid w:val="008E1976"/>
    <w:rsid w:val="008E1A0D"/>
    <w:rsid w:val="008E1C3D"/>
    <w:rsid w:val="008E1E74"/>
    <w:rsid w:val="008E1E88"/>
    <w:rsid w:val="008E1EC8"/>
    <w:rsid w:val="008E1F3E"/>
    <w:rsid w:val="008E1FC0"/>
    <w:rsid w:val="008E2036"/>
    <w:rsid w:val="008E22EB"/>
    <w:rsid w:val="008E247B"/>
    <w:rsid w:val="008E2480"/>
    <w:rsid w:val="008E24B4"/>
    <w:rsid w:val="008E2575"/>
    <w:rsid w:val="008E2614"/>
    <w:rsid w:val="008E27BA"/>
    <w:rsid w:val="008E2806"/>
    <w:rsid w:val="008E28B8"/>
    <w:rsid w:val="008E28E0"/>
    <w:rsid w:val="008E29E7"/>
    <w:rsid w:val="008E29F7"/>
    <w:rsid w:val="008E2A2A"/>
    <w:rsid w:val="008E2CCB"/>
    <w:rsid w:val="008E2F03"/>
    <w:rsid w:val="008E2F56"/>
    <w:rsid w:val="008E2FE8"/>
    <w:rsid w:val="008E3012"/>
    <w:rsid w:val="008E352D"/>
    <w:rsid w:val="008E3686"/>
    <w:rsid w:val="008E3713"/>
    <w:rsid w:val="008E388A"/>
    <w:rsid w:val="008E3A1A"/>
    <w:rsid w:val="008E3AF2"/>
    <w:rsid w:val="008E3C69"/>
    <w:rsid w:val="008E3CE1"/>
    <w:rsid w:val="008E3D19"/>
    <w:rsid w:val="008E4326"/>
    <w:rsid w:val="008E440C"/>
    <w:rsid w:val="008E444E"/>
    <w:rsid w:val="008E44A0"/>
    <w:rsid w:val="008E44D2"/>
    <w:rsid w:val="008E450F"/>
    <w:rsid w:val="008E4528"/>
    <w:rsid w:val="008E45D0"/>
    <w:rsid w:val="008E4805"/>
    <w:rsid w:val="008E484E"/>
    <w:rsid w:val="008E4A39"/>
    <w:rsid w:val="008E4B1D"/>
    <w:rsid w:val="008E4D21"/>
    <w:rsid w:val="008E4FE7"/>
    <w:rsid w:val="008E513B"/>
    <w:rsid w:val="008E5191"/>
    <w:rsid w:val="008E51DF"/>
    <w:rsid w:val="008E5230"/>
    <w:rsid w:val="008E526A"/>
    <w:rsid w:val="008E52CF"/>
    <w:rsid w:val="008E52D9"/>
    <w:rsid w:val="008E5521"/>
    <w:rsid w:val="008E5898"/>
    <w:rsid w:val="008E5918"/>
    <w:rsid w:val="008E5940"/>
    <w:rsid w:val="008E5976"/>
    <w:rsid w:val="008E5A14"/>
    <w:rsid w:val="008E5ACF"/>
    <w:rsid w:val="008E5B18"/>
    <w:rsid w:val="008E5C95"/>
    <w:rsid w:val="008E5D6F"/>
    <w:rsid w:val="008E5F4C"/>
    <w:rsid w:val="008E6123"/>
    <w:rsid w:val="008E623F"/>
    <w:rsid w:val="008E62FA"/>
    <w:rsid w:val="008E63F7"/>
    <w:rsid w:val="008E6566"/>
    <w:rsid w:val="008E65D2"/>
    <w:rsid w:val="008E6714"/>
    <w:rsid w:val="008E687C"/>
    <w:rsid w:val="008E6C0D"/>
    <w:rsid w:val="008E6C22"/>
    <w:rsid w:val="008E6D75"/>
    <w:rsid w:val="008E6F9C"/>
    <w:rsid w:val="008E7010"/>
    <w:rsid w:val="008E70E7"/>
    <w:rsid w:val="008E724B"/>
    <w:rsid w:val="008E729B"/>
    <w:rsid w:val="008E7411"/>
    <w:rsid w:val="008E7467"/>
    <w:rsid w:val="008E746A"/>
    <w:rsid w:val="008E746D"/>
    <w:rsid w:val="008E7494"/>
    <w:rsid w:val="008E7508"/>
    <w:rsid w:val="008E7548"/>
    <w:rsid w:val="008E754E"/>
    <w:rsid w:val="008E75D5"/>
    <w:rsid w:val="008E774C"/>
    <w:rsid w:val="008E774D"/>
    <w:rsid w:val="008E77B2"/>
    <w:rsid w:val="008E7900"/>
    <w:rsid w:val="008E797A"/>
    <w:rsid w:val="008E7A84"/>
    <w:rsid w:val="008E7BF1"/>
    <w:rsid w:val="008E7D76"/>
    <w:rsid w:val="008F0047"/>
    <w:rsid w:val="008F00CE"/>
    <w:rsid w:val="008F01D3"/>
    <w:rsid w:val="008F01D7"/>
    <w:rsid w:val="008F01E1"/>
    <w:rsid w:val="008F0252"/>
    <w:rsid w:val="008F0902"/>
    <w:rsid w:val="008F091F"/>
    <w:rsid w:val="008F0AD1"/>
    <w:rsid w:val="008F0D6A"/>
    <w:rsid w:val="008F0F7E"/>
    <w:rsid w:val="008F0FFC"/>
    <w:rsid w:val="008F1020"/>
    <w:rsid w:val="008F10D6"/>
    <w:rsid w:val="008F1344"/>
    <w:rsid w:val="008F1394"/>
    <w:rsid w:val="008F1482"/>
    <w:rsid w:val="008F1510"/>
    <w:rsid w:val="008F1580"/>
    <w:rsid w:val="008F158B"/>
    <w:rsid w:val="008F189A"/>
    <w:rsid w:val="008F18B7"/>
    <w:rsid w:val="008F1925"/>
    <w:rsid w:val="008F1B8F"/>
    <w:rsid w:val="008F1BF4"/>
    <w:rsid w:val="008F2069"/>
    <w:rsid w:val="008F2140"/>
    <w:rsid w:val="008F21A0"/>
    <w:rsid w:val="008F21E6"/>
    <w:rsid w:val="008F2237"/>
    <w:rsid w:val="008F23AE"/>
    <w:rsid w:val="008F24B5"/>
    <w:rsid w:val="008F25E1"/>
    <w:rsid w:val="008F2612"/>
    <w:rsid w:val="008F292A"/>
    <w:rsid w:val="008F2A95"/>
    <w:rsid w:val="008F2BBC"/>
    <w:rsid w:val="008F2DA0"/>
    <w:rsid w:val="008F2DB9"/>
    <w:rsid w:val="008F2E01"/>
    <w:rsid w:val="008F2E40"/>
    <w:rsid w:val="008F2EFA"/>
    <w:rsid w:val="008F3026"/>
    <w:rsid w:val="008F309B"/>
    <w:rsid w:val="008F310F"/>
    <w:rsid w:val="008F323E"/>
    <w:rsid w:val="008F32B0"/>
    <w:rsid w:val="008F334A"/>
    <w:rsid w:val="008F3431"/>
    <w:rsid w:val="008F34D7"/>
    <w:rsid w:val="008F34F1"/>
    <w:rsid w:val="008F354A"/>
    <w:rsid w:val="008F35CB"/>
    <w:rsid w:val="008F373A"/>
    <w:rsid w:val="008F376F"/>
    <w:rsid w:val="008F37F4"/>
    <w:rsid w:val="008F381B"/>
    <w:rsid w:val="008F38F2"/>
    <w:rsid w:val="008F3A32"/>
    <w:rsid w:val="008F3A7C"/>
    <w:rsid w:val="008F3BD8"/>
    <w:rsid w:val="008F3CEA"/>
    <w:rsid w:val="008F3DFC"/>
    <w:rsid w:val="008F4005"/>
    <w:rsid w:val="008F4477"/>
    <w:rsid w:val="008F4672"/>
    <w:rsid w:val="008F47D7"/>
    <w:rsid w:val="008F490E"/>
    <w:rsid w:val="008F4DC5"/>
    <w:rsid w:val="008F5038"/>
    <w:rsid w:val="008F516C"/>
    <w:rsid w:val="008F51B2"/>
    <w:rsid w:val="008F5277"/>
    <w:rsid w:val="008F5356"/>
    <w:rsid w:val="008F5358"/>
    <w:rsid w:val="008F53C3"/>
    <w:rsid w:val="008F53D8"/>
    <w:rsid w:val="008F54C0"/>
    <w:rsid w:val="008F54CA"/>
    <w:rsid w:val="008F56AC"/>
    <w:rsid w:val="008F5741"/>
    <w:rsid w:val="008F57B5"/>
    <w:rsid w:val="008F5907"/>
    <w:rsid w:val="008F5997"/>
    <w:rsid w:val="008F5C28"/>
    <w:rsid w:val="008F5C8B"/>
    <w:rsid w:val="008F5D9C"/>
    <w:rsid w:val="008F5DD7"/>
    <w:rsid w:val="008F5EA3"/>
    <w:rsid w:val="008F5EB6"/>
    <w:rsid w:val="008F5FB1"/>
    <w:rsid w:val="008F6206"/>
    <w:rsid w:val="008F6220"/>
    <w:rsid w:val="008F62A9"/>
    <w:rsid w:val="008F63FD"/>
    <w:rsid w:val="008F643E"/>
    <w:rsid w:val="008F64F1"/>
    <w:rsid w:val="008F66E5"/>
    <w:rsid w:val="008F6888"/>
    <w:rsid w:val="008F6BDE"/>
    <w:rsid w:val="008F6C33"/>
    <w:rsid w:val="008F6C94"/>
    <w:rsid w:val="008F6D29"/>
    <w:rsid w:val="008F6EC1"/>
    <w:rsid w:val="008F6FCE"/>
    <w:rsid w:val="008F702E"/>
    <w:rsid w:val="008F70B3"/>
    <w:rsid w:val="008F70C6"/>
    <w:rsid w:val="008F73BA"/>
    <w:rsid w:val="008F74B0"/>
    <w:rsid w:val="008F7801"/>
    <w:rsid w:val="008F7808"/>
    <w:rsid w:val="008F78BB"/>
    <w:rsid w:val="008F78C3"/>
    <w:rsid w:val="008F790E"/>
    <w:rsid w:val="008F79A8"/>
    <w:rsid w:val="008F7A4C"/>
    <w:rsid w:val="008F7B64"/>
    <w:rsid w:val="008F7B7F"/>
    <w:rsid w:val="008F7C07"/>
    <w:rsid w:val="008F7C7B"/>
    <w:rsid w:val="008F7D78"/>
    <w:rsid w:val="008F7E5B"/>
    <w:rsid w:val="008F7F78"/>
    <w:rsid w:val="00900026"/>
    <w:rsid w:val="009003CC"/>
    <w:rsid w:val="009004FA"/>
    <w:rsid w:val="00900521"/>
    <w:rsid w:val="00900903"/>
    <w:rsid w:val="00900A13"/>
    <w:rsid w:val="00900AC7"/>
    <w:rsid w:val="00900B63"/>
    <w:rsid w:val="00900FD1"/>
    <w:rsid w:val="009010B7"/>
    <w:rsid w:val="009012EE"/>
    <w:rsid w:val="0090133A"/>
    <w:rsid w:val="00901373"/>
    <w:rsid w:val="009013D4"/>
    <w:rsid w:val="009014B1"/>
    <w:rsid w:val="00901504"/>
    <w:rsid w:val="009015B3"/>
    <w:rsid w:val="00901682"/>
    <w:rsid w:val="009016AB"/>
    <w:rsid w:val="00901785"/>
    <w:rsid w:val="00901A66"/>
    <w:rsid w:val="00901CC0"/>
    <w:rsid w:val="00901E41"/>
    <w:rsid w:val="00901FDC"/>
    <w:rsid w:val="0090209F"/>
    <w:rsid w:val="00902137"/>
    <w:rsid w:val="009021E0"/>
    <w:rsid w:val="009022E9"/>
    <w:rsid w:val="00902356"/>
    <w:rsid w:val="00902595"/>
    <w:rsid w:val="00902720"/>
    <w:rsid w:val="00902851"/>
    <w:rsid w:val="0090286A"/>
    <w:rsid w:val="00902A2C"/>
    <w:rsid w:val="00902B29"/>
    <w:rsid w:val="00902D4B"/>
    <w:rsid w:val="00902DB7"/>
    <w:rsid w:val="00903046"/>
    <w:rsid w:val="00903235"/>
    <w:rsid w:val="0090324B"/>
    <w:rsid w:val="0090375E"/>
    <w:rsid w:val="00903A87"/>
    <w:rsid w:val="00903CB0"/>
    <w:rsid w:val="00903E23"/>
    <w:rsid w:val="00903F24"/>
    <w:rsid w:val="00903F85"/>
    <w:rsid w:val="0090444D"/>
    <w:rsid w:val="00904494"/>
    <w:rsid w:val="009044B7"/>
    <w:rsid w:val="009044C0"/>
    <w:rsid w:val="0090457B"/>
    <w:rsid w:val="009045BC"/>
    <w:rsid w:val="009045E6"/>
    <w:rsid w:val="009046C0"/>
    <w:rsid w:val="00904825"/>
    <w:rsid w:val="00904A3B"/>
    <w:rsid w:val="00904AC4"/>
    <w:rsid w:val="00904ACA"/>
    <w:rsid w:val="00904BCD"/>
    <w:rsid w:val="00904C15"/>
    <w:rsid w:val="00904C8D"/>
    <w:rsid w:val="00904D04"/>
    <w:rsid w:val="00904E28"/>
    <w:rsid w:val="00904EEA"/>
    <w:rsid w:val="00905045"/>
    <w:rsid w:val="009052D7"/>
    <w:rsid w:val="00905335"/>
    <w:rsid w:val="00905383"/>
    <w:rsid w:val="009055C4"/>
    <w:rsid w:val="0090564E"/>
    <w:rsid w:val="00905830"/>
    <w:rsid w:val="00905867"/>
    <w:rsid w:val="0090586D"/>
    <w:rsid w:val="0090594D"/>
    <w:rsid w:val="00905A74"/>
    <w:rsid w:val="00905F5C"/>
    <w:rsid w:val="00905F65"/>
    <w:rsid w:val="00906315"/>
    <w:rsid w:val="00906319"/>
    <w:rsid w:val="009063A5"/>
    <w:rsid w:val="009063B0"/>
    <w:rsid w:val="009063EE"/>
    <w:rsid w:val="00906438"/>
    <w:rsid w:val="009064B0"/>
    <w:rsid w:val="009066AE"/>
    <w:rsid w:val="00906977"/>
    <w:rsid w:val="00906D06"/>
    <w:rsid w:val="00906D27"/>
    <w:rsid w:val="00906D77"/>
    <w:rsid w:val="00906D78"/>
    <w:rsid w:val="00906ED5"/>
    <w:rsid w:val="00906FE3"/>
    <w:rsid w:val="00906FE4"/>
    <w:rsid w:val="00907095"/>
    <w:rsid w:val="00907792"/>
    <w:rsid w:val="0090787B"/>
    <w:rsid w:val="009079F7"/>
    <w:rsid w:val="00907D3B"/>
    <w:rsid w:val="009101C2"/>
    <w:rsid w:val="00910510"/>
    <w:rsid w:val="00910836"/>
    <w:rsid w:val="0091093D"/>
    <w:rsid w:val="009109C0"/>
    <w:rsid w:val="009109F7"/>
    <w:rsid w:val="00910B13"/>
    <w:rsid w:val="00910B4D"/>
    <w:rsid w:val="00910CF0"/>
    <w:rsid w:val="00910D31"/>
    <w:rsid w:val="00910E5B"/>
    <w:rsid w:val="00910E96"/>
    <w:rsid w:val="00910FB9"/>
    <w:rsid w:val="0091124B"/>
    <w:rsid w:val="00911252"/>
    <w:rsid w:val="00911343"/>
    <w:rsid w:val="00911528"/>
    <w:rsid w:val="00911643"/>
    <w:rsid w:val="00911746"/>
    <w:rsid w:val="00911A8B"/>
    <w:rsid w:val="00911B28"/>
    <w:rsid w:val="00911B84"/>
    <w:rsid w:val="00911C14"/>
    <w:rsid w:val="00911C39"/>
    <w:rsid w:val="00911CBF"/>
    <w:rsid w:val="00911D7A"/>
    <w:rsid w:val="00911F32"/>
    <w:rsid w:val="00912150"/>
    <w:rsid w:val="00912250"/>
    <w:rsid w:val="009122F8"/>
    <w:rsid w:val="00912332"/>
    <w:rsid w:val="0091240E"/>
    <w:rsid w:val="009125D9"/>
    <w:rsid w:val="009127F4"/>
    <w:rsid w:val="00912A79"/>
    <w:rsid w:val="00912BA5"/>
    <w:rsid w:val="00912C67"/>
    <w:rsid w:val="00912C80"/>
    <w:rsid w:val="00912E1E"/>
    <w:rsid w:val="0091308A"/>
    <w:rsid w:val="00913241"/>
    <w:rsid w:val="00913386"/>
    <w:rsid w:val="00913446"/>
    <w:rsid w:val="009134D8"/>
    <w:rsid w:val="009135F8"/>
    <w:rsid w:val="00913627"/>
    <w:rsid w:val="0091368C"/>
    <w:rsid w:val="009139F4"/>
    <w:rsid w:val="00913ACF"/>
    <w:rsid w:val="00913AD0"/>
    <w:rsid w:val="00913BF2"/>
    <w:rsid w:val="00913C24"/>
    <w:rsid w:val="00913D9D"/>
    <w:rsid w:val="0091404C"/>
    <w:rsid w:val="0091412C"/>
    <w:rsid w:val="00914556"/>
    <w:rsid w:val="00914736"/>
    <w:rsid w:val="0091486B"/>
    <w:rsid w:val="00914902"/>
    <w:rsid w:val="00914A23"/>
    <w:rsid w:val="00914BD1"/>
    <w:rsid w:val="00914C72"/>
    <w:rsid w:val="00914DA2"/>
    <w:rsid w:val="00914E40"/>
    <w:rsid w:val="00914F7E"/>
    <w:rsid w:val="00915344"/>
    <w:rsid w:val="0091564F"/>
    <w:rsid w:val="009156AC"/>
    <w:rsid w:val="009156FD"/>
    <w:rsid w:val="00915706"/>
    <w:rsid w:val="00915988"/>
    <w:rsid w:val="009159CA"/>
    <w:rsid w:val="00915AD6"/>
    <w:rsid w:val="00915D02"/>
    <w:rsid w:val="00915D13"/>
    <w:rsid w:val="00915FD1"/>
    <w:rsid w:val="00916155"/>
    <w:rsid w:val="00916377"/>
    <w:rsid w:val="009163B2"/>
    <w:rsid w:val="009164F3"/>
    <w:rsid w:val="0091659A"/>
    <w:rsid w:val="0091669A"/>
    <w:rsid w:val="00916705"/>
    <w:rsid w:val="0091678B"/>
    <w:rsid w:val="009169E2"/>
    <w:rsid w:val="00916A27"/>
    <w:rsid w:val="00916DB0"/>
    <w:rsid w:val="00916F88"/>
    <w:rsid w:val="00917025"/>
    <w:rsid w:val="009170BB"/>
    <w:rsid w:val="0091721E"/>
    <w:rsid w:val="00917433"/>
    <w:rsid w:val="0091754E"/>
    <w:rsid w:val="00917564"/>
    <w:rsid w:val="009178E9"/>
    <w:rsid w:val="00917B4E"/>
    <w:rsid w:val="00917C08"/>
    <w:rsid w:val="00917EF8"/>
    <w:rsid w:val="0092006A"/>
    <w:rsid w:val="00920146"/>
    <w:rsid w:val="0092021A"/>
    <w:rsid w:val="009202AA"/>
    <w:rsid w:val="009202BE"/>
    <w:rsid w:val="0092048F"/>
    <w:rsid w:val="009204CC"/>
    <w:rsid w:val="009204E4"/>
    <w:rsid w:val="009208DB"/>
    <w:rsid w:val="00920A8D"/>
    <w:rsid w:val="00920B67"/>
    <w:rsid w:val="00920F46"/>
    <w:rsid w:val="009210BF"/>
    <w:rsid w:val="009210CE"/>
    <w:rsid w:val="00921168"/>
    <w:rsid w:val="00921276"/>
    <w:rsid w:val="0092129B"/>
    <w:rsid w:val="0092137C"/>
    <w:rsid w:val="009215BA"/>
    <w:rsid w:val="009215FC"/>
    <w:rsid w:val="00921666"/>
    <w:rsid w:val="009216A1"/>
    <w:rsid w:val="00921853"/>
    <w:rsid w:val="009219CF"/>
    <w:rsid w:val="00921ABC"/>
    <w:rsid w:val="00921B13"/>
    <w:rsid w:val="00921E25"/>
    <w:rsid w:val="00922006"/>
    <w:rsid w:val="0092213C"/>
    <w:rsid w:val="00922251"/>
    <w:rsid w:val="0092237A"/>
    <w:rsid w:val="009223CE"/>
    <w:rsid w:val="009224C6"/>
    <w:rsid w:val="009228F1"/>
    <w:rsid w:val="009229D6"/>
    <w:rsid w:val="009229EB"/>
    <w:rsid w:val="00922C6B"/>
    <w:rsid w:val="00922DD7"/>
    <w:rsid w:val="00922DF8"/>
    <w:rsid w:val="00922E2B"/>
    <w:rsid w:val="00922EC7"/>
    <w:rsid w:val="00922F85"/>
    <w:rsid w:val="00922FA7"/>
    <w:rsid w:val="00923001"/>
    <w:rsid w:val="00923019"/>
    <w:rsid w:val="00923130"/>
    <w:rsid w:val="00923186"/>
    <w:rsid w:val="00923266"/>
    <w:rsid w:val="009232E6"/>
    <w:rsid w:val="00923415"/>
    <w:rsid w:val="0092361F"/>
    <w:rsid w:val="0092387F"/>
    <w:rsid w:val="009239B6"/>
    <w:rsid w:val="009239DA"/>
    <w:rsid w:val="00923AA3"/>
    <w:rsid w:val="00923E70"/>
    <w:rsid w:val="00923EEF"/>
    <w:rsid w:val="00923FCE"/>
    <w:rsid w:val="00924080"/>
    <w:rsid w:val="00924096"/>
    <w:rsid w:val="0092423A"/>
    <w:rsid w:val="009242A2"/>
    <w:rsid w:val="0092437D"/>
    <w:rsid w:val="00924405"/>
    <w:rsid w:val="009245DA"/>
    <w:rsid w:val="009247E6"/>
    <w:rsid w:val="009247ED"/>
    <w:rsid w:val="00924800"/>
    <w:rsid w:val="00924941"/>
    <w:rsid w:val="009249C4"/>
    <w:rsid w:val="00924AE1"/>
    <w:rsid w:val="00924DDA"/>
    <w:rsid w:val="00925259"/>
    <w:rsid w:val="009253C5"/>
    <w:rsid w:val="009254ED"/>
    <w:rsid w:val="009255E7"/>
    <w:rsid w:val="009256C1"/>
    <w:rsid w:val="0092575F"/>
    <w:rsid w:val="00925768"/>
    <w:rsid w:val="00925898"/>
    <w:rsid w:val="009259F9"/>
    <w:rsid w:val="00925A37"/>
    <w:rsid w:val="00925C47"/>
    <w:rsid w:val="00925D4C"/>
    <w:rsid w:val="0092616A"/>
    <w:rsid w:val="00926230"/>
    <w:rsid w:val="0092631B"/>
    <w:rsid w:val="009263B9"/>
    <w:rsid w:val="009268FF"/>
    <w:rsid w:val="0092699C"/>
    <w:rsid w:val="00926A15"/>
    <w:rsid w:val="00926C0E"/>
    <w:rsid w:val="00926C3F"/>
    <w:rsid w:val="00926CA8"/>
    <w:rsid w:val="00926CD5"/>
    <w:rsid w:val="00926E4D"/>
    <w:rsid w:val="00926F41"/>
    <w:rsid w:val="00927137"/>
    <w:rsid w:val="009272CE"/>
    <w:rsid w:val="00927564"/>
    <w:rsid w:val="00927773"/>
    <w:rsid w:val="0092782D"/>
    <w:rsid w:val="00927923"/>
    <w:rsid w:val="00927A59"/>
    <w:rsid w:val="00927AEA"/>
    <w:rsid w:val="00927AEB"/>
    <w:rsid w:val="00927CF5"/>
    <w:rsid w:val="00927DDE"/>
    <w:rsid w:val="00927E49"/>
    <w:rsid w:val="00927EA2"/>
    <w:rsid w:val="00927EFC"/>
    <w:rsid w:val="00927F2A"/>
    <w:rsid w:val="00930002"/>
    <w:rsid w:val="0093001A"/>
    <w:rsid w:val="0093024C"/>
    <w:rsid w:val="009303BC"/>
    <w:rsid w:val="009303CE"/>
    <w:rsid w:val="00930547"/>
    <w:rsid w:val="009307F4"/>
    <w:rsid w:val="0093091D"/>
    <w:rsid w:val="00930A31"/>
    <w:rsid w:val="00930E3D"/>
    <w:rsid w:val="00930E78"/>
    <w:rsid w:val="00930FDD"/>
    <w:rsid w:val="0093111D"/>
    <w:rsid w:val="00931457"/>
    <w:rsid w:val="0093176B"/>
    <w:rsid w:val="009318A2"/>
    <w:rsid w:val="0093190D"/>
    <w:rsid w:val="00931F3B"/>
    <w:rsid w:val="00931FAB"/>
    <w:rsid w:val="009321CB"/>
    <w:rsid w:val="009322BF"/>
    <w:rsid w:val="00932512"/>
    <w:rsid w:val="00932518"/>
    <w:rsid w:val="0093261C"/>
    <w:rsid w:val="009326C6"/>
    <w:rsid w:val="0093291F"/>
    <w:rsid w:val="00932BB6"/>
    <w:rsid w:val="00932C2A"/>
    <w:rsid w:val="00932CC6"/>
    <w:rsid w:val="00932E48"/>
    <w:rsid w:val="00932FF3"/>
    <w:rsid w:val="00933238"/>
    <w:rsid w:val="009333C9"/>
    <w:rsid w:val="009334C2"/>
    <w:rsid w:val="009335EC"/>
    <w:rsid w:val="00933671"/>
    <w:rsid w:val="00933893"/>
    <w:rsid w:val="0093393D"/>
    <w:rsid w:val="00933A45"/>
    <w:rsid w:val="00933AA2"/>
    <w:rsid w:val="00933AE0"/>
    <w:rsid w:val="00933B9B"/>
    <w:rsid w:val="00933DF1"/>
    <w:rsid w:val="00933FAA"/>
    <w:rsid w:val="00933FB5"/>
    <w:rsid w:val="00934050"/>
    <w:rsid w:val="009340A7"/>
    <w:rsid w:val="0093428F"/>
    <w:rsid w:val="00934352"/>
    <w:rsid w:val="00934428"/>
    <w:rsid w:val="009344C0"/>
    <w:rsid w:val="00934517"/>
    <w:rsid w:val="00934531"/>
    <w:rsid w:val="009346D6"/>
    <w:rsid w:val="0093489F"/>
    <w:rsid w:val="00934994"/>
    <w:rsid w:val="00934B19"/>
    <w:rsid w:val="00934B1A"/>
    <w:rsid w:val="00934B65"/>
    <w:rsid w:val="00934D5A"/>
    <w:rsid w:val="00934E0C"/>
    <w:rsid w:val="00934E17"/>
    <w:rsid w:val="0093529F"/>
    <w:rsid w:val="0093546B"/>
    <w:rsid w:val="0093555D"/>
    <w:rsid w:val="00935574"/>
    <w:rsid w:val="0093578D"/>
    <w:rsid w:val="009357B4"/>
    <w:rsid w:val="009357C6"/>
    <w:rsid w:val="00935833"/>
    <w:rsid w:val="009358DF"/>
    <w:rsid w:val="00935917"/>
    <w:rsid w:val="009359F5"/>
    <w:rsid w:val="00935AE4"/>
    <w:rsid w:val="00935E2C"/>
    <w:rsid w:val="00935E8F"/>
    <w:rsid w:val="00935EFB"/>
    <w:rsid w:val="00935F46"/>
    <w:rsid w:val="00935FFC"/>
    <w:rsid w:val="00936148"/>
    <w:rsid w:val="00936286"/>
    <w:rsid w:val="009363B8"/>
    <w:rsid w:val="009365B2"/>
    <w:rsid w:val="00936686"/>
    <w:rsid w:val="009369A5"/>
    <w:rsid w:val="009369C6"/>
    <w:rsid w:val="00936A85"/>
    <w:rsid w:val="00936DB9"/>
    <w:rsid w:val="00936E84"/>
    <w:rsid w:val="00936E92"/>
    <w:rsid w:val="00936FED"/>
    <w:rsid w:val="0093707B"/>
    <w:rsid w:val="0093721E"/>
    <w:rsid w:val="00937243"/>
    <w:rsid w:val="009372AF"/>
    <w:rsid w:val="00937461"/>
    <w:rsid w:val="00937670"/>
    <w:rsid w:val="009376FA"/>
    <w:rsid w:val="00937718"/>
    <w:rsid w:val="00937814"/>
    <w:rsid w:val="00937898"/>
    <w:rsid w:val="00937A10"/>
    <w:rsid w:val="00937AAE"/>
    <w:rsid w:val="00937B6D"/>
    <w:rsid w:val="00937BE8"/>
    <w:rsid w:val="00937D14"/>
    <w:rsid w:val="00937E63"/>
    <w:rsid w:val="00937E9B"/>
    <w:rsid w:val="00940023"/>
    <w:rsid w:val="00940112"/>
    <w:rsid w:val="009401FB"/>
    <w:rsid w:val="0094027A"/>
    <w:rsid w:val="009403EE"/>
    <w:rsid w:val="00940432"/>
    <w:rsid w:val="009404AA"/>
    <w:rsid w:val="00940535"/>
    <w:rsid w:val="009406D1"/>
    <w:rsid w:val="00940710"/>
    <w:rsid w:val="00940773"/>
    <w:rsid w:val="00940812"/>
    <w:rsid w:val="00940929"/>
    <w:rsid w:val="009409C5"/>
    <w:rsid w:val="00940B6C"/>
    <w:rsid w:val="00940C15"/>
    <w:rsid w:val="00940C84"/>
    <w:rsid w:val="00940D97"/>
    <w:rsid w:val="00940E19"/>
    <w:rsid w:val="00940EDD"/>
    <w:rsid w:val="00940EE5"/>
    <w:rsid w:val="00940F60"/>
    <w:rsid w:val="00940F6F"/>
    <w:rsid w:val="00941103"/>
    <w:rsid w:val="0094146F"/>
    <w:rsid w:val="0094158E"/>
    <w:rsid w:val="009416F2"/>
    <w:rsid w:val="0094182A"/>
    <w:rsid w:val="00941949"/>
    <w:rsid w:val="00941AC3"/>
    <w:rsid w:val="00941B47"/>
    <w:rsid w:val="00941B91"/>
    <w:rsid w:val="00941C95"/>
    <w:rsid w:val="00941DB5"/>
    <w:rsid w:val="00941F67"/>
    <w:rsid w:val="0094200A"/>
    <w:rsid w:val="0094201E"/>
    <w:rsid w:val="00942081"/>
    <w:rsid w:val="009421A7"/>
    <w:rsid w:val="0094220A"/>
    <w:rsid w:val="009423A8"/>
    <w:rsid w:val="009424F0"/>
    <w:rsid w:val="009425D6"/>
    <w:rsid w:val="00942725"/>
    <w:rsid w:val="009428AD"/>
    <w:rsid w:val="009428B5"/>
    <w:rsid w:val="009428E3"/>
    <w:rsid w:val="00942962"/>
    <w:rsid w:val="00942A8A"/>
    <w:rsid w:val="00942A9B"/>
    <w:rsid w:val="00942AC8"/>
    <w:rsid w:val="00942D53"/>
    <w:rsid w:val="00942DE7"/>
    <w:rsid w:val="00942E5C"/>
    <w:rsid w:val="00942E6A"/>
    <w:rsid w:val="00942F27"/>
    <w:rsid w:val="0094313E"/>
    <w:rsid w:val="009431E3"/>
    <w:rsid w:val="00943445"/>
    <w:rsid w:val="0094357A"/>
    <w:rsid w:val="00943B18"/>
    <w:rsid w:val="00943D44"/>
    <w:rsid w:val="00943D92"/>
    <w:rsid w:val="00943F48"/>
    <w:rsid w:val="00944137"/>
    <w:rsid w:val="009444EF"/>
    <w:rsid w:val="0094459C"/>
    <w:rsid w:val="009446FA"/>
    <w:rsid w:val="009447FE"/>
    <w:rsid w:val="00944894"/>
    <w:rsid w:val="00944934"/>
    <w:rsid w:val="00944A3B"/>
    <w:rsid w:val="00944ACE"/>
    <w:rsid w:val="00944D64"/>
    <w:rsid w:val="00944DCC"/>
    <w:rsid w:val="00944DE5"/>
    <w:rsid w:val="00944E37"/>
    <w:rsid w:val="00944EBD"/>
    <w:rsid w:val="0094511C"/>
    <w:rsid w:val="009451DF"/>
    <w:rsid w:val="00945272"/>
    <w:rsid w:val="009452A8"/>
    <w:rsid w:val="0094550D"/>
    <w:rsid w:val="009458FA"/>
    <w:rsid w:val="009459A0"/>
    <w:rsid w:val="009459CD"/>
    <w:rsid w:val="00945B64"/>
    <w:rsid w:val="00945B7C"/>
    <w:rsid w:val="00945D0B"/>
    <w:rsid w:val="00945D18"/>
    <w:rsid w:val="00945D3D"/>
    <w:rsid w:val="0094602C"/>
    <w:rsid w:val="0094619B"/>
    <w:rsid w:val="009462BF"/>
    <w:rsid w:val="009462E4"/>
    <w:rsid w:val="00946303"/>
    <w:rsid w:val="009463A1"/>
    <w:rsid w:val="009463BA"/>
    <w:rsid w:val="009463EA"/>
    <w:rsid w:val="009466B8"/>
    <w:rsid w:val="0094690F"/>
    <w:rsid w:val="00946AF9"/>
    <w:rsid w:val="00946B53"/>
    <w:rsid w:val="00946C7D"/>
    <w:rsid w:val="00946C9C"/>
    <w:rsid w:val="00946D29"/>
    <w:rsid w:val="00946E03"/>
    <w:rsid w:val="00946E59"/>
    <w:rsid w:val="00946F2C"/>
    <w:rsid w:val="009470D4"/>
    <w:rsid w:val="00947175"/>
    <w:rsid w:val="0094718A"/>
    <w:rsid w:val="009471ED"/>
    <w:rsid w:val="0094724E"/>
    <w:rsid w:val="00947428"/>
    <w:rsid w:val="00947556"/>
    <w:rsid w:val="00947784"/>
    <w:rsid w:val="0094785D"/>
    <w:rsid w:val="0094789E"/>
    <w:rsid w:val="00947A0E"/>
    <w:rsid w:val="00947D72"/>
    <w:rsid w:val="00947D8B"/>
    <w:rsid w:val="00947E3C"/>
    <w:rsid w:val="00950097"/>
    <w:rsid w:val="009500B4"/>
    <w:rsid w:val="009503CE"/>
    <w:rsid w:val="00950524"/>
    <w:rsid w:val="00950549"/>
    <w:rsid w:val="009505EA"/>
    <w:rsid w:val="00950742"/>
    <w:rsid w:val="009507FA"/>
    <w:rsid w:val="0095085D"/>
    <w:rsid w:val="009508AB"/>
    <w:rsid w:val="00950996"/>
    <w:rsid w:val="00950A4C"/>
    <w:rsid w:val="0095112A"/>
    <w:rsid w:val="009511D0"/>
    <w:rsid w:val="0095124B"/>
    <w:rsid w:val="009512BC"/>
    <w:rsid w:val="009512C7"/>
    <w:rsid w:val="009513F6"/>
    <w:rsid w:val="00951718"/>
    <w:rsid w:val="009517A1"/>
    <w:rsid w:val="00951B5E"/>
    <w:rsid w:val="00951B8D"/>
    <w:rsid w:val="00951C27"/>
    <w:rsid w:val="00951E4E"/>
    <w:rsid w:val="00951FD9"/>
    <w:rsid w:val="00951FF4"/>
    <w:rsid w:val="00952056"/>
    <w:rsid w:val="0095230F"/>
    <w:rsid w:val="00952312"/>
    <w:rsid w:val="009523E7"/>
    <w:rsid w:val="009524BC"/>
    <w:rsid w:val="009524FB"/>
    <w:rsid w:val="009525B3"/>
    <w:rsid w:val="009528AD"/>
    <w:rsid w:val="00952973"/>
    <w:rsid w:val="00952AD9"/>
    <w:rsid w:val="00952CCF"/>
    <w:rsid w:val="00952D78"/>
    <w:rsid w:val="00952E25"/>
    <w:rsid w:val="00952E78"/>
    <w:rsid w:val="00953111"/>
    <w:rsid w:val="00953202"/>
    <w:rsid w:val="00953551"/>
    <w:rsid w:val="0095356C"/>
    <w:rsid w:val="00953625"/>
    <w:rsid w:val="0095364D"/>
    <w:rsid w:val="00953695"/>
    <w:rsid w:val="00953918"/>
    <w:rsid w:val="00953928"/>
    <w:rsid w:val="00953937"/>
    <w:rsid w:val="00953A13"/>
    <w:rsid w:val="00953ADF"/>
    <w:rsid w:val="00953BD1"/>
    <w:rsid w:val="00953C4A"/>
    <w:rsid w:val="00953D5D"/>
    <w:rsid w:val="00953E0E"/>
    <w:rsid w:val="00953F67"/>
    <w:rsid w:val="00954009"/>
    <w:rsid w:val="009540A1"/>
    <w:rsid w:val="00954366"/>
    <w:rsid w:val="0095441B"/>
    <w:rsid w:val="009544EF"/>
    <w:rsid w:val="00954546"/>
    <w:rsid w:val="0095481B"/>
    <w:rsid w:val="0095486F"/>
    <w:rsid w:val="009549AD"/>
    <w:rsid w:val="00954B5C"/>
    <w:rsid w:val="00954B77"/>
    <w:rsid w:val="00954D6D"/>
    <w:rsid w:val="00954EA1"/>
    <w:rsid w:val="00954F2B"/>
    <w:rsid w:val="00954FB0"/>
    <w:rsid w:val="00954FB3"/>
    <w:rsid w:val="00955174"/>
    <w:rsid w:val="0095519A"/>
    <w:rsid w:val="0095521F"/>
    <w:rsid w:val="0095559B"/>
    <w:rsid w:val="009556D7"/>
    <w:rsid w:val="00955811"/>
    <w:rsid w:val="00955AD1"/>
    <w:rsid w:val="00955B34"/>
    <w:rsid w:val="00955B66"/>
    <w:rsid w:val="00955C34"/>
    <w:rsid w:val="00955CAE"/>
    <w:rsid w:val="00955CF7"/>
    <w:rsid w:val="009560E5"/>
    <w:rsid w:val="0095611C"/>
    <w:rsid w:val="0095611F"/>
    <w:rsid w:val="0095614F"/>
    <w:rsid w:val="0095658E"/>
    <w:rsid w:val="0095680A"/>
    <w:rsid w:val="0095683F"/>
    <w:rsid w:val="00956ADF"/>
    <w:rsid w:val="00956B27"/>
    <w:rsid w:val="00956CCD"/>
    <w:rsid w:val="00956CDD"/>
    <w:rsid w:val="00956D75"/>
    <w:rsid w:val="00956E03"/>
    <w:rsid w:val="00956EDD"/>
    <w:rsid w:val="0095712C"/>
    <w:rsid w:val="0095749D"/>
    <w:rsid w:val="00957600"/>
    <w:rsid w:val="0095771E"/>
    <w:rsid w:val="00957813"/>
    <w:rsid w:val="00957E75"/>
    <w:rsid w:val="00960268"/>
    <w:rsid w:val="009602E6"/>
    <w:rsid w:val="00960490"/>
    <w:rsid w:val="00960695"/>
    <w:rsid w:val="00960742"/>
    <w:rsid w:val="00960AF1"/>
    <w:rsid w:val="00960EAD"/>
    <w:rsid w:val="00960EB6"/>
    <w:rsid w:val="009610B6"/>
    <w:rsid w:val="0096111B"/>
    <w:rsid w:val="00961297"/>
    <w:rsid w:val="009614CF"/>
    <w:rsid w:val="009614FD"/>
    <w:rsid w:val="0096165A"/>
    <w:rsid w:val="00961683"/>
    <w:rsid w:val="009617BF"/>
    <w:rsid w:val="00961ABF"/>
    <w:rsid w:val="00961B7F"/>
    <w:rsid w:val="00961C31"/>
    <w:rsid w:val="00961C9E"/>
    <w:rsid w:val="00961D1C"/>
    <w:rsid w:val="00961D5A"/>
    <w:rsid w:val="00961E6C"/>
    <w:rsid w:val="009620A1"/>
    <w:rsid w:val="009621CD"/>
    <w:rsid w:val="00962269"/>
    <w:rsid w:val="009622C9"/>
    <w:rsid w:val="009623AC"/>
    <w:rsid w:val="009623B0"/>
    <w:rsid w:val="009623E7"/>
    <w:rsid w:val="00962598"/>
    <w:rsid w:val="0096270F"/>
    <w:rsid w:val="00962729"/>
    <w:rsid w:val="009628B7"/>
    <w:rsid w:val="0096297B"/>
    <w:rsid w:val="009629DB"/>
    <w:rsid w:val="00962A4F"/>
    <w:rsid w:val="00962D3D"/>
    <w:rsid w:val="0096315B"/>
    <w:rsid w:val="00963202"/>
    <w:rsid w:val="0096338A"/>
    <w:rsid w:val="009633B5"/>
    <w:rsid w:val="009634CA"/>
    <w:rsid w:val="009634FF"/>
    <w:rsid w:val="00963526"/>
    <w:rsid w:val="00963597"/>
    <w:rsid w:val="009636A3"/>
    <w:rsid w:val="00963755"/>
    <w:rsid w:val="00963830"/>
    <w:rsid w:val="00963A16"/>
    <w:rsid w:val="00963A57"/>
    <w:rsid w:val="00963B15"/>
    <w:rsid w:val="00963B59"/>
    <w:rsid w:val="00963C58"/>
    <w:rsid w:val="00963E63"/>
    <w:rsid w:val="00964072"/>
    <w:rsid w:val="0096429B"/>
    <w:rsid w:val="00964677"/>
    <w:rsid w:val="009647B1"/>
    <w:rsid w:val="009649FA"/>
    <w:rsid w:val="00964ABD"/>
    <w:rsid w:val="00964B58"/>
    <w:rsid w:val="00964D01"/>
    <w:rsid w:val="00964D4F"/>
    <w:rsid w:val="00964EC7"/>
    <w:rsid w:val="00964F04"/>
    <w:rsid w:val="00965011"/>
    <w:rsid w:val="009650F7"/>
    <w:rsid w:val="00965142"/>
    <w:rsid w:val="00965212"/>
    <w:rsid w:val="00965223"/>
    <w:rsid w:val="00965411"/>
    <w:rsid w:val="009654AB"/>
    <w:rsid w:val="009655BA"/>
    <w:rsid w:val="009656FC"/>
    <w:rsid w:val="00965810"/>
    <w:rsid w:val="009659EE"/>
    <w:rsid w:val="00965A1D"/>
    <w:rsid w:val="00965A7B"/>
    <w:rsid w:val="00965ACF"/>
    <w:rsid w:val="00965D8E"/>
    <w:rsid w:val="00965DAC"/>
    <w:rsid w:val="00965E29"/>
    <w:rsid w:val="00965FE0"/>
    <w:rsid w:val="0096602A"/>
    <w:rsid w:val="009660DF"/>
    <w:rsid w:val="00966188"/>
    <w:rsid w:val="0096619B"/>
    <w:rsid w:val="009666BC"/>
    <w:rsid w:val="009666C5"/>
    <w:rsid w:val="009666CD"/>
    <w:rsid w:val="009666F8"/>
    <w:rsid w:val="00966709"/>
    <w:rsid w:val="00966C50"/>
    <w:rsid w:val="00966D78"/>
    <w:rsid w:val="00966DFC"/>
    <w:rsid w:val="00966E37"/>
    <w:rsid w:val="00966F6A"/>
    <w:rsid w:val="00966FB7"/>
    <w:rsid w:val="00966FDD"/>
    <w:rsid w:val="0096721B"/>
    <w:rsid w:val="0096747E"/>
    <w:rsid w:val="00967631"/>
    <w:rsid w:val="0096768E"/>
    <w:rsid w:val="00967979"/>
    <w:rsid w:val="009679C9"/>
    <w:rsid w:val="00967A37"/>
    <w:rsid w:val="00967B4E"/>
    <w:rsid w:val="0097005D"/>
    <w:rsid w:val="0097022F"/>
    <w:rsid w:val="009702EE"/>
    <w:rsid w:val="009704D6"/>
    <w:rsid w:val="009704EB"/>
    <w:rsid w:val="00970507"/>
    <w:rsid w:val="00970528"/>
    <w:rsid w:val="00970679"/>
    <w:rsid w:val="0097075E"/>
    <w:rsid w:val="00970839"/>
    <w:rsid w:val="00970866"/>
    <w:rsid w:val="0097087A"/>
    <w:rsid w:val="009708AD"/>
    <w:rsid w:val="009708F8"/>
    <w:rsid w:val="0097097F"/>
    <w:rsid w:val="00970988"/>
    <w:rsid w:val="009709C5"/>
    <w:rsid w:val="00970B5B"/>
    <w:rsid w:val="00970C6C"/>
    <w:rsid w:val="00970E02"/>
    <w:rsid w:val="00970F8E"/>
    <w:rsid w:val="00970FBD"/>
    <w:rsid w:val="0097133F"/>
    <w:rsid w:val="0097140B"/>
    <w:rsid w:val="00971791"/>
    <w:rsid w:val="0097188A"/>
    <w:rsid w:val="00971933"/>
    <w:rsid w:val="009719BC"/>
    <w:rsid w:val="00971BA6"/>
    <w:rsid w:val="00971D4E"/>
    <w:rsid w:val="0097222A"/>
    <w:rsid w:val="00972324"/>
    <w:rsid w:val="009725A2"/>
    <w:rsid w:val="0097278E"/>
    <w:rsid w:val="009727D9"/>
    <w:rsid w:val="00972BE7"/>
    <w:rsid w:val="00972C51"/>
    <w:rsid w:val="00972C94"/>
    <w:rsid w:val="00972D52"/>
    <w:rsid w:val="00972EB4"/>
    <w:rsid w:val="00972EF0"/>
    <w:rsid w:val="0097320D"/>
    <w:rsid w:val="0097322F"/>
    <w:rsid w:val="00973395"/>
    <w:rsid w:val="00973622"/>
    <w:rsid w:val="0097371D"/>
    <w:rsid w:val="00973854"/>
    <w:rsid w:val="00973A9C"/>
    <w:rsid w:val="00973ABC"/>
    <w:rsid w:val="00973AC2"/>
    <w:rsid w:val="00973B4B"/>
    <w:rsid w:val="00973E07"/>
    <w:rsid w:val="00973F3F"/>
    <w:rsid w:val="00974201"/>
    <w:rsid w:val="009742C9"/>
    <w:rsid w:val="009744D5"/>
    <w:rsid w:val="00974696"/>
    <w:rsid w:val="00974941"/>
    <w:rsid w:val="00974A7A"/>
    <w:rsid w:val="00974A88"/>
    <w:rsid w:val="00974AB7"/>
    <w:rsid w:val="00974E91"/>
    <w:rsid w:val="00974F6B"/>
    <w:rsid w:val="00975062"/>
    <w:rsid w:val="009750BB"/>
    <w:rsid w:val="009750CE"/>
    <w:rsid w:val="00975191"/>
    <w:rsid w:val="009751A4"/>
    <w:rsid w:val="00975275"/>
    <w:rsid w:val="009752F3"/>
    <w:rsid w:val="00975312"/>
    <w:rsid w:val="00975489"/>
    <w:rsid w:val="0097548D"/>
    <w:rsid w:val="009754AC"/>
    <w:rsid w:val="0097563E"/>
    <w:rsid w:val="00975662"/>
    <w:rsid w:val="00975BB2"/>
    <w:rsid w:val="00975BE9"/>
    <w:rsid w:val="00975D0D"/>
    <w:rsid w:val="00975E90"/>
    <w:rsid w:val="0097611C"/>
    <w:rsid w:val="00976240"/>
    <w:rsid w:val="009762AB"/>
    <w:rsid w:val="009765C6"/>
    <w:rsid w:val="00976670"/>
    <w:rsid w:val="009766C6"/>
    <w:rsid w:val="009768B9"/>
    <w:rsid w:val="00976A94"/>
    <w:rsid w:val="00976B43"/>
    <w:rsid w:val="00976B56"/>
    <w:rsid w:val="00976CD0"/>
    <w:rsid w:val="00976DA2"/>
    <w:rsid w:val="00976E18"/>
    <w:rsid w:val="00976FDA"/>
    <w:rsid w:val="00977154"/>
    <w:rsid w:val="00977208"/>
    <w:rsid w:val="00977822"/>
    <w:rsid w:val="009778B1"/>
    <w:rsid w:val="0097790F"/>
    <w:rsid w:val="00977932"/>
    <w:rsid w:val="00977AED"/>
    <w:rsid w:val="00977CB8"/>
    <w:rsid w:val="009801FD"/>
    <w:rsid w:val="00980277"/>
    <w:rsid w:val="00980408"/>
    <w:rsid w:val="00980551"/>
    <w:rsid w:val="00980566"/>
    <w:rsid w:val="009805D4"/>
    <w:rsid w:val="009805F9"/>
    <w:rsid w:val="0098063B"/>
    <w:rsid w:val="009806CB"/>
    <w:rsid w:val="009809CC"/>
    <w:rsid w:val="00980BF3"/>
    <w:rsid w:val="00980C26"/>
    <w:rsid w:val="00980D28"/>
    <w:rsid w:val="00980E03"/>
    <w:rsid w:val="00980F64"/>
    <w:rsid w:val="009813A5"/>
    <w:rsid w:val="00981437"/>
    <w:rsid w:val="0098146C"/>
    <w:rsid w:val="009814B1"/>
    <w:rsid w:val="0098158C"/>
    <w:rsid w:val="009815F1"/>
    <w:rsid w:val="00981725"/>
    <w:rsid w:val="0098179A"/>
    <w:rsid w:val="009817C3"/>
    <w:rsid w:val="009817C7"/>
    <w:rsid w:val="009818C6"/>
    <w:rsid w:val="00981A5D"/>
    <w:rsid w:val="0098206B"/>
    <w:rsid w:val="009821D0"/>
    <w:rsid w:val="0098237F"/>
    <w:rsid w:val="00982522"/>
    <w:rsid w:val="00982528"/>
    <w:rsid w:val="009825F0"/>
    <w:rsid w:val="00982759"/>
    <w:rsid w:val="0098276D"/>
    <w:rsid w:val="00982A16"/>
    <w:rsid w:val="00982B9A"/>
    <w:rsid w:val="00982BFF"/>
    <w:rsid w:val="00982C60"/>
    <w:rsid w:val="00982C6D"/>
    <w:rsid w:val="00982D01"/>
    <w:rsid w:val="00982D0A"/>
    <w:rsid w:val="00982DA5"/>
    <w:rsid w:val="00982E74"/>
    <w:rsid w:val="009830BD"/>
    <w:rsid w:val="00983144"/>
    <w:rsid w:val="00983396"/>
    <w:rsid w:val="0098358D"/>
    <w:rsid w:val="00983614"/>
    <w:rsid w:val="009836D1"/>
    <w:rsid w:val="00983730"/>
    <w:rsid w:val="0098374D"/>
    <w:rsid w:val="00983760"/>
    <w:rsid w:val="0098377F"/>
    <w:rsid w:val="009838FF"/>
    <w:rsid w:val="0098396D"/>
    <w:rsid w:val="00983ADA"/>
    <w:rsid w:val="00983C20"/>
    <w:rsid w:val="00983C79"/>
    <w:rsid w:val="00983D38"/>
    <w:rsid w:val="00983E2C"/>
    <w:rsid w:val="00983F3E"/>
    <w:rsid w:val="00984041"/>
    <w:rsid w:val="0098406D"/>
    <w:rsid w:val="0098415F"/>
    <w:rsid w:val="00984177"/>
    <w:rsid w:val="009842BD"/>
    <w:rsid w:val="009845C8"/>
    <w:rsid w:val="00984AD0"/>
    <w:rsid w:val="00984C3F"/>
    <w:rsid w:val="00984CAF"/>
    <w:rsid w:val="00984DD1"/>
    <w:rsid w:val="00984E12"/>
    <w:rsid w:val="00984E78"/>
    <w:rsid w:val="00984FA5"/>
    <w:rsid w:val="00985006"/>
    <w:rsid w:val="0098508A"/>
    <w:rsid w:val="00985141"/>
    <w:rsid w:val="00985173"/>
    <w:rsid w:val="00985251"/>
    <w:rsid w:val="009852CB"/>
    <w:rsid w:val="009853DD"/>
    <w:rsid w:val="00985409"/>
    <w:rsid w:val="009854B5"/>
    <w:rsid w:val="00985506"/>
    <w:rsid w:val="00985564"/>
    <w:rsid w:val="00985607"/>
    <w:rsid w:val="0098562D"/>
    <w:rsid w:val="009856E6"/>
    <w:rsid w:val="009857CB"/>
    <w:rsid w:val="00985837"/>
    <w:rsid w:val="009858AF"/>
    <w:rsid w:val="009858D7"/>
    <w:rsid w:val="0098594A"/>
    <w:rsid w:val="0098596D"/>
    <w:rsid w:val="00985B48"/>
    <w:rsid w:val="00985C2D"/>
    <w:rsid w:val="00985E2E"/>
    <w:rsid w:val="00985EE0"/>
    <w:rsid w:val="00985FA3"/>
    <w:rsid w:val="0098603F"/>
    <w:rsid w:val="00986153"/>
    <w:rsid w:val="009861DE"/>
    <w:rsid w:val="009861F0"/>
    <w:rsid w:val="009863F4"/>
    <w:rsid w:val="00986417"/>
    <w:rsid w:val="009865AE"/>
    <w:rsid w:val="00986965"/>
    <w:rsid w:val="00986A83"/>
    <w:rsid w:val="00986AE1"/>
    <w:rsid w:val="00986AEE"/>
    <w:rsid w:val="00986C98"/>
    <w:rsid w:val="00986D0B"/>
    <w:rsid w:val="00986DCD"/>
    <w:rsid w:val="00986DE8"/>
    <w:rsid w:val="00986E29"/>
    <w:rsid w:val="0098724E"/>
    <w:rsid w:val="00987251"/>
    <w:rsid w:val="00987268"/>
    <w:rsid w:val="00987371"/>
    <w:rsid w:val="009873B4"/>
    <w:rsid w:val="00987479"/>
    <w:rsid w:val="00987578"/>
    <w:rsid w:val="00987607"/>
    <w:rsid w:val="0098770F"/>
    <w:rsid w:val="009877D7"/>
    <w:rsid w:val="009878AA"/>
    <w:rsid w:val="00987C4D"/>
    <w:rsid w:val="00987DF0"/>
    <w:rsid w:val="00987EBD"/>
    <w:rsid w:val="00990185"/>
    <w:rsid w:val="0099027D"/>
    <w:rsid w:val="009904EA"/>
    <w:rsid w:val="0099060E"/>
    <w:rsid w:val="00990654"/>
    <w:rsid w:val="009908F1"/>
    <w:rsid w:val="00990994"/>
    <w:rsid w:val="009909CE"/>
    <w:rsid w:val="00990A3C"/>
    <w:rsid w:val="00990AE2"/>
    <w:rsid w:val="00990B0A"/>
    <w:rsid w:val="00990B44"/>
    <w:rsid w:val="00990C1A"/>
    <w:rsid w:val="00990E0A"/>
    <w:rsid w:val="00990FEB"/>
    <w:rsid w:val="00991109"/>
    <w:rsid w:val="00991132"/>
    <w:rsid w:val="00991218"/>
    <w:rsid w:val="009913F0"/>
    <w:rsid w:val="0099149A"/>
    <w:rsid w:val="0099172C"/>
    <w:rsid w:val="0099178C"/>
    <w:rsid w:val="009917CA"/>
    <w:rsid w:val="00991815"/>
    <w:rsid w:val="00991876"/>
    <w:rsid w:val="009918DB"/>
    <w:rsid w:val="00991A9E"/>
    <w:rsid w:val="00991AB4"/>
    <w:rsid w:val="00991ABD"/>
    <w:rsid w:val="00991BFF"/>
    <w:rsid w:val="00991D47"/>
    <w:rsid w:val="00991DBA"/>
    <w:rsid w:val="00991EF2"/>
    <w:rsid w:val="00991F32"/>
    <w:rsid w:val="009920E1"/>
    <w:rsid w:val="009922FD"/>
    <w:rsid w:val="009923DC"/>
    <w:rsid w:val="0099259C"/>
    <w:rsid w:val="00992964"/>
    <w:rsid w:val="00992A85"/>
    <w:rsid w:val="00992A96"/>
    <w:rsid w:val="00992B7F"/>
    <w:rsid w:val="00992C85"/>
    <w:rsid w:val="00992C9F"/>
    <w:rsid w:val="00992D10"/>
    <w:rsid w:val="00992D1C"/>
    <w:rsid w:val="00993230"/>
    <w:rsid w:val="009933B6"/>
    <w:rsid w:val="009933D8"/>
    <w:rsid w:val="009935DA"/>
    <w:rsid w:val="009937A2"/>
    <w:rsid w:val="009939B8"/>
    <w:rsid w:val="00993A4A"/>
    <w:rsid w:val="00993AF5"/>
    <w:rsid w:val="00993C09"/>
    <w:rsid w:val="00994032"/>
    <w:rsid w:val="00994130"/>
    <w:rsid w:val="009941A6"/>
    <w:rsid w:val="009941E2"/>
    <w:rsid w:val="00994216"/>
    <w:rsid w:val="00994253"/>
    <w:rsid w:val="00994272"/>
    <w:rsid w:val="009942E8"/>
    <w:rsid w:val="0099431A"/>
    <w:rsid w:val="0099443F"/>
    <w:rsid w:val="00994692"/>
    <w:rsid w:val="009946CC"/>
    <w:rsid w:val="0099474C"/>
    <w:rsid w:val="009948AC"/>
    <w:rsid w:val="009949ED"/>
    <w:rsid w:val="00994BD2"/>
    <w:rsid w:val="00994C81"/>
    <w:rsid w:val="00994CD5"/>
    <w:rsid w:val="00994D60"/>
    <w:rsid w:val="00994DF1"/>
    <w:rsid w:val="0099503D"/>
    <w:rsid w:val="009953DC"/>
    <w:rsid w:val="0099542E"/>
    <w:rsid w:val="0099544C"/>
    <w:rsid w:val="00995A2B"/>
    <w:rsid w:val="00995A8C"/>
    <w:rsid w:val="00995D69"/>
    <w:rsid w:val="00995DBD"/>
    <w:rsid w:val="00996136"/>
    <w:rsid w:val="0099620D"/>
    <w:rsid w:val="0099625D"/>
    <w:rsid w:val="00996269"/>
    <w:rsid w:val="009962FF"/>
    <w:rsid w:val="009965C8"/>
    <w:rsid w:val="00996665"/>
    <w:rsid w:val="00996668"/>
    <w:rsid w:val="0099667B"/>
    <w:rsid w:val="009967A6"/>
    <w:rsid w:val="009968EC"/>
    <w:rsid w:val="009969CB"/>
    <w:rsid w:val="00996B00"/>
    <w:rsid w:val="00996D3E"/>
    <w:rsid w:val="00996DE5"/>
    <w:rsid w:val="00996E29"/>
    <w:rsid w:val="00997322"/>
    <w:rsid w:val="009975BE"/>
    <w:rsid w:val="00997690"/>
    <w:rsid w:val="009976BE"/>
    <w:rsid w:val="009977FF"/>
    <w:rsid w:val="00997B6E"/>
    <w:rsid w:val="00997C9C"/>
    <w:rsid w:val="00997D9D"/>
    <w:rsid w:val="00997ED0"/>
    <w:rsid w:val="00997FB0"/>
    <w:rsid w:val="009A0067"/>
    <w:rsid w:val="009A008C"/>
    <w:rsid w:val="009A0310"/>
    <w:rsid w:val="009A0359"/>
    <w:rsid w:val="009A0526"/>
    <w:rsid w:val="009A0565"/>
    <w:rsid w:val="009A05D1"/>
    <w:rsid w:val="009A060B"/>
    <w:rsid w:val="009A0610"/>
    <w:rsid w:val="009A06E0"/>
    <w:rsid w:val="009A070C"/>
    <w:rsid w:val="009A0985"/>
    <w:rsid w:val="009A09BA"/>
    <w:rsid w:val="009A0B70"/>
    <w:rsid w:val="009A0C4E"/>
    <w:rsid w:val="009A0E21"/>
    <w:rsid w:val="009A0F78"/>
    <w:rsid w:val="009A12F6"/>
    <w:rsid w:val="009A130E"/>
    <w:rsid w:val="009A1390"/>
    <w:rsid w:val="009A148A"/>
    <w:rsid w:val="009A1558"/>
    <w:rsid w:val="009A1865"/>
    <w:rsid w:val="009A18FC"/>
    <w:rsid w:val="009A1985"/>
    <w:rsid w:val="009A19D6"/>
    <w:rsid w:val="009A1ACE"/>
    <w:rsid w:val="009A1B10"/>
    <w:rsid w:val="009A1C7B"/>
    <w:rsid w:val="009A1CA3"/>
    <w:rsid w:val="009A1CF4"/>
    <w:rsid w:val="009A1D8C"/>
    <w:rsid w:val="009A1DA3"/>
    <w:rsid w:val="009A1E71"/>
    <w:rsid w:val="009A21E9"/>
    <w:rsid w:val="009A22A2"/>
    <w:rsid w:val="009A22C7"/>
    <w:rsid w:val="009A22D4"/>
    <w:rsid w:val="009A2320"/>
    <w:rsid w:val="009A2379"/>
    <w:rsid w:val="009A26C3"/>
    <w:rsid w:val="009A2884"/>
    <w:rsid w:val="009A2A5B"/>
    <w:rsid w:val="009A2AA2"/>
    <w:rsid w:val="009A2AAF"/>
    <w:rsid w:val="009A2D1B"/>
    <w:rsid w:val="009A2E00"/>
    <w:rsid w:val="009A2F3A"/>
    <w:rsid w:val="009A2FFE"/>
    <w:rsid w:val="009A335B"/>
    <w:rsid w:val="009A33A8"/>
    <w:rsid w:val="009A3569"/>
    <w:rsid w:val="009A35EE"/>
    <w:rsid w:val="009A38EF"/>
    <w:rsid w:val="009A38F4"/>
    <w:rsid w:val="009A3A65"/>
    <w:rsid w:val="009A3AA4"/>
    <w:rsid w:val="009A3D71"/>
    <w:rsid w:val="009A40C0"/>
    <w:rsid w:val="009A42EC"/>
    <w:rsid w:val="009A433E"/>
    <w:rsid w:val="009A4405"/>
    <w:rsid w:val="009A44F9"/>
    <w:rsid w:val="009A4536"/>
    <w:rsid w:val="009A454D"/>
    <w:rsid w:val="009A4607"/>
    <w:rsid w:val="009A474B"/>
    <w:rsid w:val="009A487E"/>
    <w:rsid w:val="009A49A2"/>
    <w:rsid w:val="009A49B3"/>
    <w:rsid w:val="009A4A59"/>
    <w:rsid w:val="009A4AAE"/>
    <w:rsid w:val="009A4BD7"/>
    <w:rsid w:val="009A4E26"/>
    <w:rsid w:val="009A4F14"/>
    <w:rsid w:val="009A5312"/>
    <w:rsid w:val="009A5476"/>
    <w:rsid w:val="009A564B"/>
    <w:rsid w:val="009A5697"/>
    <w:rsid w:val="009A57EE"/>
    <w:rsid w:val="009A58F9"/>
    <w:rsid w:val="009A58FB"/>
    <w:rsid w:val="009A5D70"/>
    <w:rsid w:val="009A5DFE"/>
    <w:rsid w:val="009A611D"/>
    <w:rsid w:val="009A616D"/>
    <w:rsid w:val="009A623B"/>
    <w:rsid w:val="009A6393"/>
    <w:rsid w:val="009A63DC"/>
    <w:rsid w:val="009A655D"/>
    <w:rsid w:val="009A65F1"/>
    <w:rsid w:val="009A66DD"/>
    <w:rsid w:val="009A6728"/>
    <w:rsid w:val="009A68A4"/>
    <w:rsid w:val="009A68D0"/>
    <w:rsid w:val="009A6971"/>
    <w:rsid w:val="009A6984"/>
    <w:rsid w:val="009A6CE2"/>
    <w:rsid w:val="009A6E58"/>
    <w:rsid w:val="009A6EE8"/>
    <w:rsid w:val="009A7060"/>
    <w:rsid w:val="009A727B"/>
    <w:rsid w:val="009A758D"/>
    <w:rsid w:val="009A762D"/>
    <w:rsid w:val="009A7648"/>
    <w:rsid w:val="009A7659"/>
    <w:rsid w:val="009A77D8"/>
    <w:rsid w:val="009A793F"/>
    <w:rsid w:val="009A7D49"/>
    <w:rsid w:val="009A7DEF"/>
    <w:rsid w:val="009A7E97"/>
    <w:rsid w:val="009A7EFC"/>
    <w:rsid w:val="009B029F"/>
    <w:rsid w:val="009B02F2"/>
    <w:rsid w:val="009B03B3"/>
    <w:rsid w:val="009B03C2"/>
    <w:rsid w:val="009B03DB"/>
    <w:rsid w:val="009B03EE"/>
    <w:rsid w:val="009B0599"/>
    <w:rsid w:val="009B05CA"/>
    <w:rsid w:val="009B08D6"/>
    <w:rsid w:val="009B0906"/>
    <w:rsid w:val="009B0ADA"/>
    <w:rsid w:val="009B0B42"/>
    <w:rsid w:val="009B0DD7"/>
    <w:rsid w:val="009B0E3C"/>
    <w:rsid w:val="009B0EF8"/>
    <w:rsid w:val="009B10AA"/>
    <w:rsid w:val="009B1373"/>
    <w:rsid w:val="009B166F"/>
    <w:rsid w:val="009B16AF"/>
    <w:rsid w:val="009B1759"/>
    <w:rsid w:val="009B1A48"/>
    <w:rsid w:val="009B1C0E"/>
    <w:rsid w:val="009B1C3E"/>
    <w:rsid w:val="009B1C66"/>
    <w:rsid w:val="009B1CAA"/>
    <w:rsid w:val="009B1D41"/>
    <w:rsid w:val="009B2146"/>
    <w:rsid w:val="009B23B3"/>
    <w:rsid w:val="009B247D"/>
    <w:rsid w:val="009B24B4"/>
    <w:rsid w:val="009B278A"/>
    <w:rsid w:val="009B2825"/>
    <w:rsid w:val="009B2B48"/>
    <w:rsid w:val="009B2D25"/>
    <w:rsid w:val="009B2D6E"/>
    <w:rsid w:val="009B2EEF"/>
    <w:rsid w:val="009B2F6E"/>
    <w:rsid w:val="009B3026"/>
    <w:rsid w:val="009B31E4"/>
    <w:rsid w:val="009B31EF"/>
    <w:rsid w:val="009B32A3"/>
    <w:rsid w:val="009B3349"/>
    <w:rsid w:val="009B34E5"/>
    <w:rsid w:val="009B3586"/>
    <w:rsid w:val="009B3849"/>
    <w:rsid w:val="009B399B"/>
    <w:rsid w:val="009B3AAC"/>
    <w:rsid w:val="009B3AE5"/>
    <w:rsid w:val="009B3D80"/>
    <w:rsid w:val="009B3DE4"/>
    <w:rsid w:val="009B40D0"/>
    <w:rsid w:val="009B40E0"/>
    <w:rsid w:val="009B44FD"/>
    <w:rsid w:val="009B4500"/>
    <w:rsid w:val="009B4556"/>
    <w:rsid w:val="009B49C3"/>
    <w:rsid w:val="009B49F1"/>
    <w:rsid w:val="009B4A4F"/>
    <w:rsid w:val="009B4A87"/>
    <w:rsid w:val="009B4D01"/>
    <w:rsid w:val="009B5144"/>
    <w:rsid w:val="009B547C"/>
    <w:rsid w:val="009B5599"/>
    <w:rsid w:val="009B55CF"/>
    <w:rsid w:val="009B5890"/>
    <w:rsid w:val="009B58C3"/>
    <w:rsid w:val="009B594F"/>
    <w:rsid w:val="009B5980"/>
    <w:rsid w:val="009B5E21"/>
    <w:rsid w:val="009B6048"/>
    <w:rsid w:val="009B60D2"/>
    <w:rsid w:val="009B60D7"/>
    <w:rsid w:val="009B61B2"/>
    <w:rsid w:val="009B61BF"/>
    <w:rsid w:val="009B623F"/>
    <w:rsid w:val="009B6269"/>
    <w:rsid w:val="009B64FE"/>
    <w:rsid w:val="009B650D"/>
    <w:rsid w:val="009B652D"/>
    <w:rsid w:val="009B653B"/>
    <w:rsid w:val="009B6607"/>
    <w:rsid w:val="009B6809"/>
    <w:rsid w:val="009B680D"/>
    <w:rsid w:val="009B6861"/>
    <w:rsid w:val="009B6A8E"/>
    <w:rsid w:val="009B6AB3"/>
    <w:rsid w:val="009B6D55"/>
    <w:rsid w:val="009B710E"/>
    <w:rsid w:val="009B71D5"/>
    <w:rsid w:val="009B71E8"/>
    <w:rsid w:val="009B7431"/>
    <w:rsid w:val="009B75B6"/>
    <w:rsid w:val="009B7645"/>
    <w:rsid w:val="009B76E0"/>
    <w:rsid w:val="009B7848"/>
    <w:rsid w:val="009B7880"/>
    <w:rsid w:val="009B78C0"/>
    <w:rsid w:val="009B78CD"/>
    <w:rsid w:val="009B79CB"/>
    <w:rsid w:val="009B7BE4"/>
    <w:rsid w:val="009B7CC6"/>
    <w:rsid w:val="009B7D7F"/>
    <w:rsid w:val="009B7EC0"/>
    <w:rsid w:val="009B7EFF"/>
    <w:rsid w:val="009B7F44"/>
    <w:rsid w:val="009C0358"/>
    <w:rsid w:val="009C03B3"/>
    <w:rsid w:val="009C03CA"/>
    <w:rsid w:val="009C0455"/>
    <w:rsid w:val="009C049B"/>
    <w:rsid w:val="009C054B"/>
    <w:rsid w:val="009C0564"/>
    <w:rsid w:val="009C05F0"/>
    <w:rsid w:val="009C0896"/>
    <w:rsid w:val="009C0B93"/>
    <w:rsid w:val="009C0D1D"/>
    <w:rsid w:val="009C0D30"/>
    <w:rsid w:val="009C0EC0"/>
    <w:rsid w:val="009C0F71"/>
    <w:rsid w:val="009C1042"/>
    <w:rsid w:val="009C1341"/>
    <w:rsid w:val="009C1417"/>
    <w:rsid w:val="009C14BC"/>
    <w:rsid w:val="009C15AF"/>
    <w:rsid w:val="009C1735"/>
    <w:rsid w:val="009C1981"/>
    <w:rsid w:val="009C1A74"/>
    <w:rsid w:val="009C1BE4"/>
    <w:rsid w:val="009C1CC3"/>
    <w:rsid w:val="009C1D2D"/>
    <w:rsid w:val="009C2247"/>
    <w:rsid w:val="009C2275"/>
    <w:rsid w:val="009C2381"/>
    <w:rsid w:val="009C23F2"/>
    <w:rsid w:val="009C249B"/>
    <w:rsid w:val="009C24CB"/>
    <w:rsid w:val="009C25A2"/>
    <w:rsid w:val="009C25C5"/>
    <w:rsid w:val="009C25EF"/>
    <w:rsid w:val="009C2746"/>
    <w:rsid w:val="009C27FA"/>
    <w:rsid w:val="009C2835"/>
    <w:rsid w:val="009C29BC"/>
    <w:rsid w:val="009C29C7"/>
    <w:rsid w:val="009C2A00"/>
    <w:rsid w:val="009C2A12"/>
    <w:rsid w:val="009C2CC0"/>
    <w:rsid w:val="009C2CE6"/>
    <w:rsid w:val="009C2DAF"/>
    <w:rsid w:val="009C2EB5"/>
    <w:rsid w:val="009C2F2F"/>
    <w:rsid w:val="009C2F50"/>
    <w:rsid w:val="009C317D"/>
    <w:rsid w:val="009C337C"/>
    <w:rsid w:val="009C342F"/>
    <w:rsid w:val="009C3674"/>
    <w:rsid w:val="009C379D"/>
    <w:rsid w:val="009C38ED"/>
    <w:rsid w:val="009C3A1E"/>
    <w:rsid w:val="009C3B2D"/>
    <w:rsid w:val="009C3C5B"/>
    <w:rsid w:val="009C3E79"/>
    <w:rsid w:val="009C3F92"/>
    <w:rsid w:val="009C3FCB"/>
    <w:rsid w:val="009C41ED"/>
    <w:rsid w:val="009C4374"/>
    <w:rsid w:val="009C43AD"/>
    <w:rsid w:val="009C43FF"/>
    <w:rsid w:val="009C4623"/>
    <w:rsid w:val="009C4807"/>
    <w:rsid w:val="009C4998"/>
    <w:rsid w:val="009C4D8E"/>
    <w:rsid w:val="009C4FD4"/>
    <w:rsid w:val="009C4FEC"/>
    <w:rsid w:val="009C5201"/>
    <w:rsid w:val="009C52AC"/>
    <w:rsid w:val="009C55ED"/>
    <w:rsid w:val="009C56C7"/>
    <w:rsid w:val="009C57D2"/>
    <w:rsid w:val="009C5C6B"/>
    <w:rsid w:val="009C5D94"/>
    <w:rsid w:val="009C5DAC"/>
    <w:rsid w:val="009C6018"/>
    <w:rsid w:val="009C60D1"/>
    <w:rsid w:val="009C611E"/>
    <w:rsid w:val="009C6279"/>
    <w:rsid w:val="009C629C"/>
    <w:rsid w:val="009C62DA"/>
    <w:rsid w:val="009C62F4"/>
    <w:rsid w:val="009C63DC"/>
    <w:rsid w:val="009C6942"/>
    <w:rsid w:val="009C69A2"/>
    <w:rsid w:val="009C6A2C"/>
    <w:rsid w:val="009C6A85"/>
    <w:rsid w:val="009C6A99"/>
    <w:rsid w:val="009C6C32"/>
    <w:rsid w:val="009C6DC9"/>
    <w:rsid w:val="009C6E1A"/>
    <w:rsid w:val="009C6E88"/>
    <w:rsid w:val="009C6FC0"/>
    <w:rsid w:val="009C70E7"/>
    <w:rsid w:val="009C7121"/>
    <w:rsid w:val="009C722A"/>
    <w:rsid w:val="009C749A"/>
    <w:rsid w:val="009C74A4"/>
    <w:rsid w:val="009C75CF"/>
    <w:rsid w:val="009C762C"/>
    <w:rsid w:val="009C7684"/>
    <w:rsid w:val="009C78F3"/>
    <w:rsid w:val="009C79D5"/>
    <w:rsid w:val="009C7B4B"/>
    <w:rsid w:val="009C7EFF"/>
    <w:rsid w:val="009D0005"/>
    <w:rsid w:val="009D014D"/>
    <w:rsid w:val="009D01AC"/>
    <w:rsid w:val="009D0390"/>
    <w:rsid w:val="009D03AD"/>
    <w:rsid w:val="009D04A3"/>
    <w:rsid w:val="009D0504"/>
    <w:rsid w:val="009D0617"/>
    <w:rsid w:val="009D0736"/>
    <w:rsid w:val="009D0831"/>
    <w:rsid w:val="009D090D"/>
    <w:rsid w:val="009D09B4"/>
    <w:rsid w:val="009D09CB"/>
    <w:rsid w:val="009D0B34"/>
    <w:rsid w:val="009D0B47"/>
    <w:rsid w:val="009D0CF3"/>
    <w:rsid w:val="009D0D67"/>
    <w:rsid w:val="009D0DC1"/>
    <w:rsid w:val="009D0ECE"/>
    <w:rsid w:val="009D1170"/>
    <w:rsid w:val="009D1455"/>
    <w:rsid w:val="009D16DA"/>
    <w:rsid w:val="009D176C"/>
    <w:rsid w:val="009D18D1"/>
    <w:rsid w:val="009D1A65"/>
    <w:rsid w:val="009D1C6F"/>
    <w:rsid w:val="009D1E5D"/>
    <w:rsid w:val="009D1F71"/>
    <w:rsid w:val="009D23DE"/>
    <w:rsid w:val="009D23E7"/>
    <w:rsid w:val="009D246D"/>
    <w:rsid w:val="009D24F6"/>
    <w:rsid w:val="009D2505"/>
    <w:rsid w:val="009D26DD"/>
    <w:rsid w:val="009D2758"/>
    <w:rsid w:val="009D27D6"/>
    <w:rsid w:val="009D285E"/>
    <w:rsid w:val="009D2914"/>
    <w:rsid w:val="009D2980"/>
    <w:rsid w:val="009D29C5"/>
    <w:rsid w:val="009D2B6A"/>
    <w:rsid w:val="009D2CDD"/>
    <w:rsid w:val="009D2CEE"/>
    <w:rsid w:val="009D2D95"/>
    <w:rsid w:val="009D2DFF"/>
    <w:rsid w:val="009D2F60"/>
    <w:rsid w:val="009D2FA1"/>
    <w:rsid w:val="009D30C4"/>
    <w:rsid w:val="009D30CA"/>
    <w:rsid w:val="009D32C8"/>
    <w:rsid w:val="009D338A"/>
    <w:rsid w:val="009D339E"/>
    <w:rsid w:val="009D353B"/>
    <w:rsid w:val="009D36C6"/>
    <w:rsid w:val="009D38F1"/>
    <w:rsid w:val="009D398F"/>
    <w:rsid w:val="009D3996"/>
    <w:rsid w:val="009D3997"/>
    <w:rsid w:val="009D39CA"/>
    <w:rsid w:val="009D3A5D"/>
    <w:rsid w:val="009D3B11"/>
    <w:rsid w:val="009D3D29"/>
    <w:rsid w:val="009D3D2D"/>
    <w:rsid w:val="009D3D3C"/>
    <w:rsid w:val="009D3D95"/>
    <w:rsid w:val="009D3D97"/>
    <w:rsid w:val="009D3EA8"/>
    <w:rsid w:val="009D409B"/>
    <w:rsid w:val="009D4108"/>
    <w:rsid w:val="009D4113"/>
    <w:rsid w:val="009D41A6"/>
    <w:rsid w:val="009D430E"/>
    <w:rsid w:val="009D4402"/>
    <w:rsid w:val="009D4425"/>
    <w:rsid w:val="009D443D"/>
    <w:rsid w:val="009D4454"/>
    <w:rsid w:val="009D4531"/>
    <w:rsid w:val="009D4582"/>
    <w:rsid w:val="009D4587"/>
    <w:rsid w:val="009D45E4"/>
    <w:rsid w:val="009D470F"/>
    <w:rsid w:val="009D474E"/>
    <w:rsid w:val="009D48C6"/>
    <w:rsid w:val="009D4A67"/>
    <w:rsid w:val="009D4BFD"/>
    <w:rsid w:val="009D4C05"/>
    <w:rsid w:val="009D4D9F"/>
    <w:rsid w:val="009D4DA2"/>
    <w:rsid w:val="009D4E01"/>
    <w:rsid w:val="009D4E37"/>
    <w:rsid w:val="009D4F9D"/>
    <w:rsid w:val="009D5237"/>
    <w:rsid w:val="009D52F3"/>
    <w:rsid w:val="009D56F6"/>
    <w:rsid w:val="009D594A"/>
    <w:rsid w:val="009D5B0C"/>
    <w:rsid w:val="009D5F43"/>
    <w:rsid w:val="009D6022"/>
    <w:rsid w:val="009D6073"/>
    <w:rsid w:val="009D6101"/>
    <w:rsid w:val="009D615D"/>
    <w:rsid w:val="009D6243"/>
    <w:rsid w:val="009D636A"/>
    <w:rsid w:val="009D6465"/>
    <w:rsid w:val="009D65D5"/>
    <w:rsid w:val="009D6633"/>
    <w:rsid w:val="009D677A"/>
    <w:rsid w:val="009D67A9"/>
    <w:rsid w:val="009D691B"/>
    <w:rsid w:val="009D699D"/>
    <w:rsid w:val="009D6B21"/>
    <w:rsid w:val="009D6BED"/>
    <w:rsid w:val="009D6C26"/>
    <w:rsid w:val="009D6C35"/>
    <w:rsid w:val="009D6DF0"/>
    <w:rsid w:val="009D6E34"/>
    <w:rsid w:val="009D701B"/>
    <w:rsid w:val="009D705E"/>
    <w:rsid w:val="009D7144"/>
    <w:rsid w:val="009D7377"/>
    <w:rsid w:val="009D7493"/>
    <w:rsid w:val="009D772F"/>
    <w:rsid w:val="009D78C3"/>
    <w:rsid w:val="009D7A16"/>
    <w:rsid w:val="009D7AED"/>
    <w:rsid w:val="009D7B7E"/>
    <w:rsid w:val="009D7B92"/>
    <w:rsid w:val="009D7BAB"/>
    <w:rsid w:val="009D7BD4"/>
    <w:rsid w:val="009D7CA3"/>
    <w:rsid w:val="009D7CEE"/>
    <w:rsid w:val="009D7DD1"/>
    <w:rsid w:val="009D7FA4"/>
    <w:rsid w:val="009E00D8"/>
    <w:rsid w:val="009E010D"/>
    <w:rsid w:val="009E012F"/>
    <w:rsid w:val="009E01CB"/>
    <w:rsid w:val="009E02C5"/>
    <w:rsid w:val="009E0462"/>
    <w:rsid w:val="009E0538"/>
    <w:rsid w:val="009E0856"/>
    <w:rsid w:val="009E08A8"/>
    <w:rsid w:val="009E0997"/>
    <w:rsid w:val="009E0A3A"/>
    <w:rsid w:val="009E0AA4"/>
    <w:rsid w:val="009E0D37"/>
    <w:rsid w:val="009E0EB5"/>
    <w:rsid w:val="009E0FFD"/>
    <w:rsid w:val="009E111E"/>
    <w:rsid w:val="009E11D3"/>
    <w:rsid w:val="009E1420"/>
    <w:rsid w:val="009E14B9"/>
    <w:rsid w:val="009E1501"/>
    <w:rsid w:val="009E1548"/>
    <w:rsid w:val="009E1584"/>
    <w:rsid w:val="009E1673"/>
    <w:rsid w:val="009E1734"/>
    <w:rsid w:val="009E1B3A"/>
    <w:rsid w:val="009E1F61"/>
    <w:rsid w:val="009E1F6C"/>
    <w:rsid w:val="009E21C3"/>
    <w:rsid w:val="009E2273"/>
    <w:rsid w:val="009E286E"/>
    <w:rsid w:val="009E2874"/>
    <w:rsid w:val="009E2AAC"/>
    <w:rsid w:val="009E2AC7"/>
    <w:rsid w:val="009E2B0B"/>
    <w:rsid w:val="009E2B58"/>
    <w:rsid w:val="009E2C7C"/>
    <w:rsid w:val="009E2DBB"/>
    <w:rsid w:val="009E2DDC"/>
    <w:rsid w:val="009E2DE0"/>
    <w:rsid w:val="009E2E12"/>
    <w:rsid w:val="009E2E4E"/>
    <w:rsid w:val="009E2E53"/>
    <w:rsid w:val="009E2F07"/>
    <w:rsid w:val="009E2F42"/>
    <w:rsid w:val="009E2FB7"/>
    <w:rsid w:val="009E2FE4"/>
    <w:rsid w:val="009E3040"/>
    <w:rsid w:val="009E3090"/>
    <w:rsid w:val="009E319B"/>
    <w:rsid w:val="009E3324"/>
    <w:rsid w:val="009E3790"/>
    <w:rsid w:val="009E389E"/>
    <w:rsid w:val="009E3C27"/>
    <w:rsid w:val="009E3D39"/>
    <w:rsid w:val="009E3E38"/>
    <w:rsid w:val="009E3F74"/>
    <w:rsid w:val="009E40B3"/>
    <w:rsid w:val="009E41D6"/>
    <w:rsid w:val="009E4232"/>
    <w:rsid w:val="009E429F"/>
    <w:rsid w:val="009E42E8"/>
    <w:rsid w:val="009E4317"/>
    <w:rsid w:val="009E4339"/>
    <w:rsid w:val="009E44B4"/>
    <w:rsid w:val="009E44CC"/>
    <w:rsid w:val="009E44D1"/>
    <w:rsid w:val="009E44FA"/>
    <w:rsid w:val="009E4812"/>
    <w:rsid w:val="009E4823"/>
    <w:rsid w:val="009E49B0"/>
    <w:rsid w:val="009E4CD3"/>
    <w:rsid w:val="009E4D94"/>
    <w:rsid w:val="009E4E77"/>
    <w:rsid w:val="009E4F9E"/>
    <w:rsid w:val="009E5222"/>
    <w:rsid w:val="009E5275"/>
    <w:rsid w:val="009E544A"/>
    <w:rsid w:val="009E54E5"/>
    <w:rsid w:val="009E591B"/>
    <w:rsid w:val="009E5B0E"/>
    <w:rsid w:val="009E5DE7"/>
    <w:rsid w:val="009E5EA2"/>
    <w:rsid w:val="009E5FA1"/>
    <w:rsid w:val="009E6034"/>
    <w:rsid w:val="009E62B3"/>
    <w:rsid w:val="009E65FB"/>
    <w:rsid w:val="009E66A2"/>
    <w:rsid w:val="009E6876"/>
    <w:rsid w:val="009E6CE9"/>
    <w:rsid w:val="009E6D60"/>
    <w:rsid w:val="009E6D6D"/>
    <w:rsid w:val="009E6F9F"/>
    <w:rsid w:val="009E7060"/>
    <w:rsid w:val="009E7100"/>
    <w:rsid w:val="009E71F6"/>
    <w:rsid w:val="009E7402"/>
    <w:rsid w:val="009E7477"/>
    <w:rsid w:val="009E75ED"/>
    <w:rsid w:val="009E7632"/>
    <w:rsid w:val="009E7A0E"/>
    <w:rsid w:val="009E7ACD"/>
    <w:rsid w:val="009E7BD1"/>
    <w:rsid w:val="009E7C11"/>
    <w:rsid w:val="009E7C3F"/>
    <w:rsid w:val="009E7C6A"/>
    <w:rsid w:val="009F04A4"/>
    <w:rsid w:val="009F04C1"/>
    <w:rsid w:val="009F0574"/>
    <w:rsid w:val="009F0788"/>
    <w:rsid w:val="009F0886"/>
    <w:rsid w:val="009F0896"/>
    <w:rsid w:val="009F0BD5"/>
    <w:rsid w:val="009F0C45"/>
    <w:rsid w:val="009F0C78"/>
    <w:rsid w:val="009F0C8F"/>
    <w:rsid w:val="009F0D17"/>
    <w:rsid w:val="009F0DAC"/>
    <w:rsid w:val="009F0F10"/>
    <w:rsid w:val="009F0F21"/>
    <w:rsid w:val="009F0F75"/>
    <w:rsid w:val="009F0FA2"/>
    <w:rsid w:val="009F10F3"/>
    <w:rsid w:val="009F11B1"/>
    <w:rsid w:val="009F1280"/>
    <w:rsid w:val="009F1468"/>
    <w:rsid w:val="009F14B6"/>
    <w:rsid w:val="009F178E"/>
    <w:rsid w:val="009F17C0"/>
    <w:rsid w:val="009F18A9"/>
    <w:rsid w:val="009F1914"/>
    <w:rsid w:val="009F19D9"/>
    <w:rsid w:val="009F1AA6"/>
    <w:rsid w:val="009F1BB6"/>
    <w:rsid w:val="009F1C82"/>
    <w:rsid w:val="009F1CD1"/>
    <w:rsid w:val="009F1D1C"/>
    <w:rsid w:val="009F1DCC"/>
    <w:rsid w:val="009F1E79"/>
    <w:rsid w:val="009F1FF5"/>
    <w:rsid w:val="009F2044"/>
    <w:rsid w:val="009F204D"/>
    <w:rsid w:val="009F21D2"/>
    <w:rsid w:val="009F223C"/>
    <w:rsid w:val="009F241C"/>
    <w:rsid w:val="009F2667"/>
    <w:rsid w:val="009F27B4"/>
    <w:rsid w:val="009F28C3"/>
    <w:rsid w:val="009F2974"/>
    <w:rsid w:val="009F2A42"/>
    <w:rsid w:val="009F2B61"/>
    <w:rsid w:val="009F2BE2"/>
    <w:rsid w:val="009F2D5C"/>
    <w:rsid w:val="009F2EE7"/>
    <w:rsid w:val="009F2F46"/>
    <w:rsid w:val="009F2FA9"/>
    <w:rsid w:val="009F30B5"/>
    <w:rsid w:val="009F327A"/>
    <w:rsid w:val="009F339B"/>
    <w:rsid w:val="009F34C1"/>
    <w:rsid w:val="009F3522"/>
    <w:rsid w:val="009F38C9"/>
    <w:rsid w:val="009F39C2"/>
    <w:rsid w:val="009F3B25"/>
    <w:rsid w:val="009F3B32"/>
    <w:rsid w:val="009F3BD5"/>
    <w:rsid w:val="009F3BF1"/>
    <w:rsid w:val="009F3C79"/>
    <w:rsid w:val="009F3CEC"/>
    <w:rsid w:val="009F3CF0"/>
    <w:rsid w:val="009F3DC1"/>
    <w:rsid w:val="009F3E29"/>
    <w:rsid w:val="009F3F49"/>
    <w:rsid w:val="009F414C"/>
    <w:rsid w:val="009F41A5"/>
    <w:rsid w:val="009F41CA"/>
    <w:rsid w:val="009F4475"/>
    <w:rsid w:val="009F44E3"/>
    <w:rsid w:val="009F494C"/>
    <w:rsid w:val="009F4960"/>
    <w:rsid w:val="009F4B0F"/>
    <w:rsid w:val="009F4D16"/>
    <w:rsid w:val="009F4D6F"/>
    <w:rsid w:val="009F4ECD"/>
    <w:rsid w:val="009F5075"/>
    <w:rsid w:val="009F523B"/>
    <w:rsid w:val="009F52B2"/>
    <w:rsid w:val="009F5418"/>
    <w:rsid w:val="009F5696"/>
    <w:rsid w:val="009F5796"/>
    <w:rsid w:val="009F579B"/>
    <w:rsid w:val="009F57E4"/>
    <w:rsid w:val="009F5805"/>
    <w:rsid w:val="009F5A24"/>
    <w:rsid w:val="009F5B66"/>
    <w:rsid w:val="009F5CFF"/>
    <w:rsid w:val="009F5D8B"/>
    <w:rsid w:val="009F5D9A"/>
    <w:rsid w:val="009F5DBC"/>
    <w:rsid w:val="009F5DE2"/>
    <w:rsid w:val="009F5F2F"/>
    <w:rsid w:val="009F5F8E"/>
    <w:rsid w:val="009F6077"/>
    <w:rsid w:val="009F613E"/>
    <w:rsid w:val="009F6155"/>
    <w:rsid w:val="009F6240"/>
    <w:rsid w:val="009F6394"/>
    <w:rsid w:val="009F6774"/>
    <w:rsid w:val="009F67D8"/>
    <w:rsid w:val="009F6872"/>
    <w:rsid w:val="009F6934"/>
    <w:rsid w:val="009F698F"/>
    <w:rsid w:val="009F6AE1"/>
    <w:rsid w:val="009F6B18"/>
    <w:rsid w:val="009F6CF3"/>
    <w:rsid w:val="009F6D80"/>
    <w:rsid w:val="009F6F15"/>
    <w:rsid w:val="009F7002"/>
    <w:rsid w:val="009F701E"/>
    <w:rsid w:val="009F70AF"/>
    <w:rsid w:val="009F71C4"/>
    <w:rsid w:val="009F73E4"/>
    <w:rsid w:val="009F7531"/>
    <w:rsid w:val="009F75F0"/>
    <w:rsid w:val="009F78C9"/>
    <w:rsid w:val="009F7948"/>
    <w:rsid w:val="009F7956"/>
    <w:rsid w:val="009F7998"/>
    <w:rsid w:val="009F79AD"/>
    <w:rsid w:val="009F79D1"/>
    <w:rsid w:val="009F79ED"/>
    <w:rsid w:val="009F7AD7"/>
    <w:rsid w:val="009F7C4E"/>
    <w:rsid w:val="009F7DBB"/>
    <w:rsid w:val="009F7E81"/>
    <w:rsid w:val="009F7F40"/>
    <w:rsid w:val="009F7F6D"/>
    <w:rsid w:val="00A003DF"/>
    <w:rsid w:val="00A0050F"/>
    <w:rsid w:val="00A0059D"/>
    <w:rsid w:val="00A0083A"/>
    <w:rsid w:val="00A00929"/>
    <w:rsid w:val="00A00A4A"/>
    <w:rsid w:val="00A00B6E"/>
    <w:rsid w:val="00A00CAD"/>
    <w:rsid w:val="00A00F60"/>
    <w:rsid w:val="00A01126"/>
    <w:rsid w:val="00A01254"/>
    <w:rsid w:val="00A012E0"/>
    <w:rsid w:val="00A013EF"/>
    <w:rsid w:val="00A0146C"/>
    <w:rsid w:val="00A01567"/>
    <w:rsid w:val="00A0167E"/>
    <w:rsid w:val="00A0172E"/>
    <w:rsid w:val="00A01837"/>
    <w:rsid w:val="00A0186A"/>
    <w:rsid w:val="00A018E2"/>
    <w:rsid w:val="00A01B3A"/>
    <w:rsid w:val="00A01B5A"/>
    <w:rsid w:val="00A01E02"/>
    <w:rsid w:val="00A01F84"/>
    <w:rsid w:val="00A02014"/>
    <w:rsid w:val="00A020DD"/>
    <w:rsid w:val="00A021B6"/>
    <w:rsid w:val="00A021F6"/>
    <w:rsid w:val="00A02200"/>
    <w:rsid w:val="00A02353"/>
    <w:rsid w:val="00A023B9"/>
    <w:rsid w:val="00A0241D"/>
    <w:rsid w:val="00A0271B"/>
    <w:rsid w:val="00A0289B"/>
    <w:rsid w:val="00A028E1"/>
    <w:rsid w:val="00A02922"/>
    <w:rsid w:val="00A02942"/>
    <w:rsid w:val="00A02B02"/>
    <w:rsid w:val="00A02B87"/>
    <w:rsid w:val="00A0313E"/>
    <w:rsid w:val="00A03260"/>
    <w:rsid w:val="00A033B8"/>
    <w:rsid w:val="00A03438"/>
    <w:rsid w:val="00A03731"/>
    <w:rsid w:val="00A0378E"/>
    <w:rsid w:val="00A037B6"/>
    <w:rsid w:val="00A03827"/>
    <w:rsid w:val="00A038CD"/>
    <w:rsid w:val="00A03949"/>
    <w:rsid w:val="00A039F8"/>
    <w:rsid w:val="00A03B44"/>
    <w:rsid w:val="00A03C41"/>
    <w:rsid w:val="00A03CF6"/>
    <w:rsid w:val="00A03CFD"/>
    <w:rsid w:val="00A03D2E"/>
    <w:rsid w:val="00A0415A"/>
    <w:rsid w:val="00A0417C"/>
    <w:rsid w:val="00A041B1"/>
    <w:rsid w:val="00A04234"/>
    <w:rsid w:val="00A04318"/>
    <w:rsid w:val="00A0438B"/>
    <w:rsid w:val="00A046AC"/>
    <w:rsid w:val="00A049A5"/>
    <w:rsid w:val="00A04B68"/>
    <w:rsid w:val="00A04BBC"/>
    <w:rsid w:val="00A04DE2"/>
    <w:rsid w:val="00A04DE6"/>
    <w:rsid w:val="00A050FB"/>
    <w:rsid w:val="00A05131"/>
    <w:rsid w:val="00A052F7"/>
    <w:rsid w:val="00A054E7"/>
    <w:rsid w:val="00A0577E"/>
    <w:rsid w:val="00A05866"/>
    <w:rsid w:val="00A059F5"/>
    <w:rsid w:val="00A05BAA"/>
    <w:rsid w:val="00A05BFC"/>
    <w:rsid w:val="00A05E98"/>
    <w:rsid w:val="00A05F53"/>
    <w:rsid w:val="00A0600D"/>
    <w:rsid w:val="00A06144"/>
    <w:rsid w:val="00A06278"/>
    <w:rsid w:val="00A06365"/>
    <w:rsid w:val="00A06465"/>
    <w:rsid w:val="00A065A0"/>
    <w:rsid w:val="00A06641"/>
    <w:rsid w:val="00A06669"/>
    <w:rsid w:val="00A0673F"/>
    <w:rsid w:val="00A067A6"/>
    <w:rsid w:val="00A06A42"/>
    <w:rsid w:val="00A06ADE"/>
    <w:rsid w:val="00A06E2F"/>
    <w:rsid w:val="00A070C3"/>
    <w:rsid w:val="00A072B0"/>
    <w:rsid w:val="00A0742C"/>
    <w:rsid w:val="00A074A6"/>
    <w:rsid w:val="00A07793"/>
    <w:rsid w:val="00A079D0"/>
    <w:rsid w:val="00A07ACB"/>
    <w:rsid w:val="00A07B96"/>
    <w:rsid w:val="00A07BF1"/>
    <w:rsid w:val="00A07D53"/>
    <w:rsid w:val="00A07DDA"/>
    <w:rsid w:val="00A1003C"/>
    <w:rsid w:val="00A1018A"/>
    <w:rsid w:val="00A1022C"/>
    <w:rsid w:val="00A103FB"/>
    <w:rsid w:val="00A10459"/>
    <w:rsid w:val="00A105A2"/>
    <w:rsid w:val="00A1067C"/>
    <w:rsid w:val="00A1067F"/>
    <w:rsid w:val="00A1076E"/>
    <w:rsid w:val="00A10772"/>
    <w:rsid w:val="00A10799"/>
    <w:rsid w:val="00A10AF8"/>
    <w:rsid w:val="00A10DEB"/>
    <w:rsid w:val="00A10E9B"/>
    <w:rsid w:val="00A10FF0"/>
    <w:rsid w:val="00A11064"/>
    <w:rsid w:val="00A1108C"/>
    <w:rsid w:val="00A1162A"/>
    <w:rsid w:val="00A116B2"/>
    <w:rsid w:val="00A11794"/>
    <w:rsid w:val="00A1185B"/>
    <w:rsid w:val="00A118A0"/>
    <w:rsid w:val="00A118F2"/>
    <w:rsid w:val="00A11B97"/>
    <w:rsid w:val="00A11BDB"/>
    <w:rsid w:val="00A11DFB"/>
    <w:rsid w:val="00A11E0D"/>
    <w:rsid w:val="00A1216E"/>
    <w:rsid w:val="00A123F6"/>
    <w:rsid w:val="00A125AA"/>
    <w:rsid w:val="00A125E1"/>
    <w:rsid w:val="00A1263B"/>
    <w:rsid w:val="00A12654"/>
    <w:rsid w:val="00A126D4"/>
    <w:rsid w:val="00A126F1"/>
    <w:rsid w:val="00A12B66"/>
    <w:rsid w:val="00A12B9A"/>
    <w:rsid w:val="00A12C9B"/>
    <w:rsid w:val="00A12D12"/>
    <w:rsid w:val="00A12D9A"/>
    <w:rsid w:val="00A12E37"/>
    <w:rsid w:val="00A12ED5"/>
    <w:rsid w:val="00A12FBC"/>
    <w:rsid w:val="00A13133"/>
    <w:rsid w:val="00A131D1"/>
    <w:rsid w:val="00A132B4"/>
    <w:rsid w:val="00A13406"/>
    <w:rsid w:val="00A13503"/>
    <w:rsid w:val="00A13746"/>
    <w:rsid w:val="00A13BE1"/>
    <w:rsid w:val="00A13CBD"/>
    <w:rsid w:val="00A13E60"/>
    <w:rsid w:val="00A13F78"/>
    <w:rsid w:val="00A14087"/>
    <w:rsid w:val="00A140E8"/>
    <w:rsid w:val="00A142EF"/>
    <w:rsid w:val="00A143BF"/>
    <w:rsid w:val="00A143CC"/>
    <w:rsid w:val="00A1449A"/>
    <w:rsid w:val="00A14568"/>
    <w:rsid w:val="00A145A9"/>
    <w:rsid w:val="00A14751"/>
    <w:rsid w:val="00A14A93"/>
    <w:rsid w:val="00A14DC1"/>
    <w:rsid w:val="00A14ED2"/>
    <w:rsid w:val="00A15127"/>
    <w:rsid w:val="00A1519C"/>
    <w:rsid w:val="00A151A5"/>
    <w:rsid w:val="00A151C4"/>
    <w:rsid w:val="00A1534A"/>
    <w:rsid w:val="00A15640"/>
    <w:rsid w:val="00A157AD"/>
    <w:rsid w:val="00A157BD"/>
    <w:rsid w:val="00A1598C"/>
    <w:rsid w:val="00A15AAD"/>
    <w:rsid w:val="00A15B02"/>
    <w:rsid w:val="00A15C30"/>
    <w:rsid w:val="00A15CA6"/>
    <w:rsid w:val="00A15DA0"/>
    <w:rsid w:val="00A15E7B"/>
    <w:rsid w:val="00A1612E"/>
    <w:rsid w:val="00A16207"/>
    <w:rsid w:val="00A16264"/>
    <w:rsid w:val="00A16515"/>
    <w:rsid w:val="00A169B1"/>
    <w:rsid w:val="00A16C2C"/>
    <w:rsid w:val="00A16F6E"/>
    <w:rsid w:val="00A16F87"/>
    <w:rsid w:val="00A16FB9"/>
    <w:rsid w:val="00A17091"/>
    <w:rsid w:val="00A1716B"/>
    <w:rsid w:val="00A17252"/>
    <w:rsid w:val="00A1735A"/>
    <w:rsid w:val="00A173DC"/>
    <w:rsid w:val="00A1745D"/>
    <w:rsid w:val="00A1766E"/>
    <w:rsid w:val="00A17737"/>
    <w:rsid w:val="00A179BF"/>
    <w:rsid w:val="00A17C99"/>
    <w:rsid w:val="00A17E66"/>
    <w:rsid w:val="00A17EF3"/>
    <w:rsid w:val="00A201C9"/>
    <w:rsid w:val="00A203C8"/>
    <w:rsid w:val="00A20524"/>
    <w:rsid w:val="00A20B7D"/>
    <w:rsid w:val="00A20C6D"/>
    <w:rsid w:val="00A20CB7"/>
    <w:rsid w:val="00A21156"/>
    <w:rsid w:val="00A211A7"/>
    <w:rsid w:val="00A211C8"/>
    <w:rsid w:val="00A212F6"/>
    <w:rsid w:val="00A21429"/>
    <w:rsid w:val="00A2156A"/>
    <w:rsid w:val="00A216A6"/>
    <w:rsid w:val="00A21738"/>
    <w:rsid w:val="00A21855"/>
    <w:rsid w:val="00A21D27"/>
    <w:rsid w:val="00A21EE0"/>
    <w:rsid w:val="00A21EEB"/>
    <w:rsid w:val="00A21F6C"/>
    <w:rsid w:val="00A21FA6"/>
    <w:rsid w:val="00A21FED"/>
    <w:rsid w:val="00A22041"/>
    <w:rsid w:val="00A22063"/>
    <w:rsid w:val="00A22073"/>
    <w:rsid w:val="00A2209D"/>
    <w:rsid w:val="00A226F6"/>
    <w:rsid w:val="00A2277B"/>
    <w:rsid w:val="00A22783"/>
    <w:rsid w:val="00A2279D"/>
    <w:rsid w:val="00A227AC"/>
    <w:rsid w:val="00A229AB"/>
    <w:rsid w:val="00A229C8"/>
    <w:rsid w:val="00A22A12"/>
    <w:rsid w:val="00A22A22"/>
    <w:rsid w:val="00A22B35"/>
    <w:rsid w:val="00A22C40"/>
    <w:rsid w:val="00A22CD0"/>
    <w:rsid w:val="00A22D08"/>
    <w:rsid w:val="00A22DCE"/>
    <w:rsid w:val="00A22E02"/>
    <w:rsid w:val="00A22E6A"/>
    <w:rsid w:val="00A230B3"/>
    <w:rsid w:val="00A2310E"/>
    <w:rsid w:val="00A235C0"/>
    <w:rsid w:val="00A23733"/>
    <w:rsid w:val="00A23843"/>
    <w:rsid w:val="00A23A47"/>
    <w:rsid w:val="00A23C69"/>
    <w:rsid w:val="00A23D17"/>
    <w:rsid w:val="00A23FB0"/>
    <w:rsid w:val="00A24039"/>
    <w:rsid w:val="00A2405E"/>
    <w:rsid w:val="00A244B4"/>
    <w:rsid w:val="00A24504"/>
    <w:rsid w:val="00A24935"/>
    <w:rsid w:val="00A2499B"/>
    <w:rsid w:val="00A24B13"/>
    <w:rsid w:val="00A24C1C"/>
    <w:rsid w:val="00A24CC6"/>
    <w:rsid w:val="00A24FB4"/>
    <w:rsid w:val="00A250D2"/>
    <w:rsid w:val="00A252F9"/>
    <w:rsid w:val="00A2578C"/>
    <w:rsid w:val="00A25A0F"/>
    <w:rsid w:val="00A25A4C"/>
    <w:rsid w:val="00A25A65"/>
    <w:rsid w:val="00A25A84"/>
    <w:rsid w:val="00A25FD3"/>
    <w:rsid w:val="00A260B8"/>
    <w:rsid w:val="00A262A6"/>
    <w:rsid w:val="00A262BC"/>
    <w:rsid w:val="00A2632D"/>
    <w:rsid w:val="00A26368"/>
    <w:rsid w:val="00A263D7"/>
    <w:rsid w:val="00A26431"/>
    <w:rsid w:val="00A265EB"/>
    <w:rsid w:val="00A267BC"/>
    <w:rsid w:val="00A26A6D"/>
    <w:rsid w:val="00A26AE5"/>
    <w:rsid w:val="00A26D48"/>
    <w:rsid w:val="00A26E58"/>
    <w:rsid w:val="00A26F4B"/>
    <w:rsid w:val="00A26F4D"/>
    <w:rsid w:val="00A27001"/>
    <w:rsid w:val="00A27025"/>
    <w:rsid w:val="00A2712B"/>
    <w:rsid w:val="00A271C9"/>
    <w:rsid w:val="00A274E4"/>
    <w:rsid w:val="00A2750F"/>
    <w:rsid w:val="00A27663"/>
    <w:rsid w:val="00A279E4"/>
    <w:rsid w:val="00A27CE3"/>
    <w:rsid w:val="00A27D4E"/>
    <w:rsid w:val="00A27D5B"/>
    <w:rsid w:val="00A27F28"/>
    <w:rsid w:val="00A30139"/>
    <w:rsid w:val="00A3014B"/>
    <w:rsid w:val="00A303AB"/>
    <w:rsid w:val="00A306F7"/>
    <w:rsid w:val="00A3094F"/>
    <w:rsid w:val="00A30A00"/>
    <w:rsid w:val="00A30CF1"/>
    <w:rsid w:val="00A30F27"/>
    <w:rsid w:val="00A30FFF"/>
    <w:rsid w:val="00A31029"/>
    <w:rsid w:val="00A310DF"/>
    <w:rsid w:val="00A31196"/>
    <w:rsid w:val="00A311EA"/>
    <w:rsid w:val="00A31209"/>
    <w:rsid w:val="00A31259"/>
    <w:rsid w:val="00A3132C"/>
    <w:rsid w:val="00A31334"/>
    <w:rsid w:val="00A3139B"/>
    <w:rsid w:val="00A3154C"/>
    <w:rsid w:val="00A31639"/>
    <w:rsid w:val="00A31F4D"/>
    <w:rsid w:val="00A32245"/>
    <w:rsid w:val="00A323A7"/>
    <w:rsid w:val="00A3242B"/>
    <w:rsid w:val="00A32509"/>
    <w:rsid w:val="00A325EC"/>
    <w:rsid w:val="00A32619"/>
    <w:rsid w:val="00A3279C"/>
    <w:rsid w:val="00A32B22"/>
    <w:rsid w:val="00A32BE6"/>
    <w:rsid w:val="00A32C82"/>
    <w:rsid w:val="00A32EF7"/>
    <w:rsid w:val="00A33163"/>
    <w:rsid w:val="00A332FE"/>
    <w:rsid w:val="00A33472"/>
    <w:rsid w:val="00A33480"/>
    <w:rsid w:val="00A33520"/>
    <w:rsid w:val="00A3355E"/>
    <w:rsid w:val="00A335F6"/>
    <w:rsid w:val="00A33703"/>
    <w:rsid w:val="00A33744"/>
    <w:rsid w:val="00A3376B"/>
    <w:rsid w:val="00A33944"/>
    <w:rsid w:val="00A33B48"/>
    <w:rsid w:val="00A33BDF"/>
    <w:rsid w:val="00A33BEA"/>
    <w:rsid w:val="00A34027"/>
    <w:rsid w:val="00A34150"/>
    <w:rsid w:val="00A34196"/>
    <w:rsid w:val="00A341B5"/>
    <w:rsid w:val="00A3448F"/>
    <w:rsid w:val="00A3454B"/>
    <w:rsid w:val="00A345CD"/>
    <w:rsid w:val="00A3499E"/>
    <w:rsid w:val="00A349B2"/>
    <w:rsid w:val="00A34A96"/>
    <w:rsid w:val="00A34ABF"/>
    <w:rsid w:val="00A34B3A"/>
    <w:rsid w:val="00A34B66"/>
    <w:rsid w:val="00A34BB9"/>
    <w:rsid w:val="00A34C7C"/>
    <w:rsid w:val="00A34D60"/>
    <w:rsid w:val="00A34EDA"/>
    <w:rsid w:val="00A34FD8"/>
    <w:rsid w:val="00A35171"/>
    <w:rsid w:val="00A352AA"/>
    <w:rsid w:val="00A352B3"/>
    <w:rsid w:val="00A3547F"/>
    <w:rsid w:val="00A35614"/>
    <w:rsid w:val="00A3575C"/>
    <w:rsid w:val="00A35830"/>
    <w:rsid w:val="00A35897"/>
    <w:rsid w:val="00A358F6"/>
    <w:rsid w:val="00A35A4A"/>
    <w:rsid w:val="00A35D86"/>
    <w:rsid w:val="00A35DAD"/>
    <w:rsid w:val="00A360F0"/>
    <w:rsid w:val="00A360F9"/>
    <w:rsid w:val="00A361D5"/>
    <w:rsid w:val="00A36279"/>
    <w:rsid w:val="00A3630E"/>
    <w:rsid w:val="00A3639B"/>
    <w:rsid w:val="00A363DE"/>
    <w:rsid w:val="00A363E2"/>
    <w:rsid w:val="00A3644E"/>
    <w:rsid w:val="00A3656A"/>
    <w:rsid w:val="00A36714"/>
    <w:rsid w:val="00A36876"/>
    <w:rsid w:val="00A36926"/>
    <w:rsid w:val="00A36933"/>
    <w:rsid w:val="00A36E19"/>
    <w:rsid w:val="00A36F41"/>
    <w:rsid w:val="00A37249"/>
    <w:rsid w:val="00A37259"/>
    <w:rsid w:val="00A37266"/>
    <w:rsid w:val="00A373BB"/>
    <w:rsid w:val="00A375EF"/>
    <w:rsid w:val="00A3778E"/>
    <w:rsid w:val="00A3786A"/>
    <w:rsid w:val="00A37986"/>
    <w:rsid w:val="00A379E0"/>
    <w:rsid w:val="00A37ABC"/>
    <w:rsid w:val="00A37B58"/>
    <w:rsid w:val="00A37B5C"/>
    <w:rsid w:val="00A37BF3"/>
    <w:rsid w:val="00A37CBD"/>
    <w:rsid w:val="00A37E5F"/>
    <w:rsid w:val="00A4002F"/>
    <w:rsid w:val="00A4005A"/>
    <w:rsid w:val="00A400F6"/>
    <w:rsid w:val="00A4052A"/>
    <w:rsid w:val="00A40556"/>
    <w:rsid w:val="00A407E6"/>
    <w:rsid w:val="00A40A16"/>
    <w:rsid w:val="00A40A92"/>
    <w:rsid w:val="00A40B11"/>
    <w:rsid w:val="00A40B7E"/>
    <w:rsid w:val="00A40C2E"/>
    <w:rsid w:val="00A40D06"/>
    <w:rsid w:val="00A40D2B"/>
    <w:rsid w:val="00A40D69"/>
    <w:rsid w:val="00A41267"/>
    <w:rsid w:val="00A4146C"/>
    <w:rsid w:val="00A41535"/>
    <w:rsid w:val="00A4167E"/>
    <w:rsid w:val="00A41680"/>
    <w:rsid w:val="00A416EE"/>
    <w:rsid w:val="00A41768"/>
    <w:rsid w:val="00A41785"/>
    <w:rsid w:val="00A41902"/>
    <w:rsid w:val="00A41C53"/>
    <w:rsid w:val="00A41CEE"/>
    <w:rsid w:val="00A42031"/>
    <w:rsid w:val="00A4209C"/>
    <w:rsid w:val="00A42566"/>
    <w:rsid w:val="00A42591"/>
    <w:rsid w:val="00A4263E"/>
    <w:rsid w:val="00A4271E"/>
    <w:rsid w:val="00A4289A"/>
    <w:rsid w:val="00A428D2"/>
    <w:rsid w:val="00A429C9"/>
    <w:rsid w:val="00A42ABC"/>
    <w:rsid w:val="00A42F6C"/>
    <w:rsid w:val="00A432A7"/>
    <w:rsid w:val="00A4339A"/>
    <w:rsid w:val="00A43418"/>
    <w:rsid w:val="00A434B4"/>
    <w:rsid w:val="00A43546"/>
    <w:rsid w:val="00A43703"/>
    <w:rsid w:val="00A43728"/>
    <w:rsid w:val="00A438F9"/>
    <w:rsid w:val="00A439AE"/>
    <w:rsid w:val="00A43C09"/>
    <w:rsid w:val="00A43EFC"/>
    <w:rsid w:val="00A43FD9"/>
    <w:rsid w:val="00A44133"/>
    <w:rsid w:val="00A44276"/>
    <w:rsid w:val="00A44399"/>
    <w:rsid w:val="00A4442F"/>
    <w:rsid w:val="00A4446F"/>
    <w:rsid w:val="00A444A9"/>
    <w:rsid w:val="00A446D5"/>
    <w:rsid w:val="00A447FF"/>
    <w:rsid w:val="00A4493A"/>
    <w:rsid w:val="00A44A9C"/>
    <w:rsid w:val="00A44BC8"/>
    <w:rsid w:val="00A44C2E"/>
    <w:rsid w:val="00A44CCE"/>
    <w:rsid w:val="00A44DBE"/>
    <w:rsid w:val="00A44F59"/>
    <w:rsid w:val="00A45014"/>
    <w:rsid w:val="00A450A5"/>
    <w:rsid w:val="00A4515C"/>
    <w:rsid w:val="00A451CE"/>
    <w:rsid w:val="00A4522A"/>
    <w:rsid w:val="00A452A7"/>
    <w:rsid w:val="00A453BD"/>
    <w:rsid w:val="00A45726"/>
    <w:rsid w:val="00A45756"/>
    <w:rsid w:val="00A457BA"/>
    <w:rsid w:val="00A45C3F"/>
    <w:rsid w:val="00A45C6C"/>
    <w:rsid w:val="00A45CA9"/>
    <w:rsid w:val="00A45D06"/>
    <w:rsid w:val="00A45D52"/>
    <w:rsid w:val="00A45F12"/>
    <w:rsid w:val="00A45F2F"/>
    <w:rsid w:val="00A45FA7"/>
    <w:rsid w:val="00A45FD3"/>
    <w:rsid w:val="00A4628F"/>
    <w:rsid w:val="00A463FB"/>
    <w:rsid w:val="00A464B6"/>
    <w:rsid w:val="00A46601"/>
    <w:rsid w:val="00A46654"/>
    <w:rsid w:val="00A466D4"/>
    <w:rsid w:val="00A46738"/>
    <w:rsid w:val="00A467CD"/>
    <w:rsid w:val="00A467FA"/>
    <w:rsid w:val="00A4689F"/>
    <w:rsid w:val="00A469EC"/>
    <w:rsid w:val="00A46A67"/>
    <w:rsid w:val="00A46B01"/>
    <w:rsid w:val="00A46BD5"/>
    <w:rsid w:val="00A46D02"/>
    <w:rsid w:val="00A47086"/>
    <w:rsid w:val="00A470B3"/>
    <w:rsid w:val="00A47194"/>
    <w:rsid w:val="00A471A6"/>
    <w:rsid w:val="00A475A4"/>
    <w:rsid w:val="00A477BE"/>
    <w:rsid w:val="00A47A5C"/>
    <w:rsid w:val="00A47ABC"/>
    <w:rsid w:val="00A47B01"/>
    <w:rsid w:val="00A47B6A"/>
    <w:rsid w:val="00A47F01"/>
    <w:rsid w:val="00A47FEA"/>
    <w:rsid w:val="00A5004E"/>
    <w:rsid w:val="00A500D9"/>
    <w:rsid w:val="00A5012B"/>
    <w:rsid w:val="00A501A5"/>
    <w:rsid w:val="00A502C2"/>
    <w:rsid w:val="00A50312"/>
    <w:rsid w:val="00A5032F"/>
    <w:rsid w:val="00A504EF"/>
    <w:rsid w:val="00A50695"/>
    <w:rsid w:val="00A5081F"/>
    <w:rsid w:val="00A50840"/>
    <w:rsid w:val="00A508EF"/>
    <w:rsid w:val="00A50B47"/>
    <w:rsid w:val="00A50B51"/>
    <w:rsid w:val="00A50BB8"/>
    <w:rsid w:val="00A50CC3"/>
    <w:rsid w:val="00A50CE5"/>
    <w:rsid w:val="00A50F2E"/>
    <w:rsid w:val="00A50F7D"/>
    <w:rsid w:val="00A50F8C"/>
    <w:rsid w:val="00A50FE0"/>
    <w:rsid w:val="00A510AD"/>
    <w:rsid w:val="00A510C5"/>
    <w:rsid w:val="00A511DD"/>
    <w:rsid w:val="00A511F0"/>
    <w:rsid w:val="00A5123C"/>
    <w:rsid w:val="00A5164D"/>
    <w:rsid w:val="00A51651"/>
    <w:rsid w:val="00A516AE"/>
    <w:rsid w:val="00A517E6"/>
    <w:rsid w:val="00A51898"/>
    <w:rsid w:val="00A51926"/>
    <w:rsid w:val="00A51A7E"/>
    <w:rsid w:val="00A51CF1"/>
    <w:rsid w:val="00A52057"/>
    <w:rsid w:val="00A52117"/>
    <w:rsid w:val="00A521B5"/>
    <w:rsid w:val="00A521E0"/>
    <w:rsid w:val="00A52215"/>
    <w:rsid w:val="00A52393"/>
    <w:rsid w:val="00A523B7"/>
    <w:rsid w:val="00A52476"/>
    <w:rsid w:val="00A525BA"/>
    <w:rsid w:val="00A526C4"/>
    <w:rsid w:val="00A52735"/>
    <w:rsid w:val="00A527CA"/>
    <w:rsid w:val="00A52820"/>
    <w:rsid w:val="00A528CA"/>
    <w:rsid w:val="00A52A44"/>
    <w:rsid w:val="00A52BA3"/>
    <w:rsid w:val="00A52BD4"/>
    <w:rsid w:val="00A52E9E"/>
    <w:rsid w:val="00A52F6A"/>
    <w:rsid w:val="00A530D1"/>
    <w:rsid w:val="00A53183"/>
    <w:rsid w:val="00A53276"/>
    <w:rsid w:val="00A533AA"/>
    <w:rsid w:val="00A53457"/>
    <w:rsid w:val="00A53620"/>
    <w:rsid w:val="00A53855"/>
    <w:rsid w:val="00A538E1"/>
    <w:rsid w:val="00A539BF"/>
    <w:rsid w:val="00A53AA8"/>
    <w:rsid w:val="00A53AF4"/>
    <w:rsid w:val="00A53B86"/>
    <w:rsid w:val="00A53C98"/>
    <w:rsid w:val="00A53E1B"/>
    <w:rsid w:val="00A53EEA"/>
    <w:rsid w:val="00A54051"/>
    <w:rsid w:val="00A54179"/>
    <w:rsid w:val="00A54595"/>
    <w:rsid w:val="00A54773"/>
    <w:rsid w:val="00A54865"/>
    <w:rsid w:val="00A54AC3"/>
    <w:rsid w:val="00A54BE3"/>
    <w:rsid w:val="00A54D09"/>
    <w:rsid w:val="00A54D97"/>
    <w:rsid w:val="00A54E93"/>
    <w:rsid w:val="00A55064"/>
    <w:rsid w:val="00A551E7"/>
    <w:rsid w:val="00A5523F"/>
    <w:rsid w:val="00A553C0"/>
    <w:rsid w:val="00A5573E"/>
    <w:rsid w:val="00A55843"/>
    <w:rsid w:val="00A55901"/>
    <w:rsid w:val="00A559DA"/>
    <w:rsid w:val="00A55A68"/>
    <w:rsid w:val="00A55C00"/>
    <w:rsid w:val="00A55C07"/>
    <w:rsid w:val="00A55C63"/>
    <w:rsid w:val="00A56103"/>
    <w:rsid w:val="00A561B2"/>
    <w:rsid w:val="00A561F2"/>
    <w:rsid w:val="00A56390"/>
    <w:rsid w:val="00A56566"/>
    <w:rsid w:val="00A568C2"/>
    <w:rsid w:val="00A56AD6"/>
    <w:rsid w:val="00A56B7E"/>
    <w:rsid w:val="00A56C27"/>
    <w:rsid w:val="00A56D08"/>
    <w:rsid w:val="00A56D75"/>
    <w:rsid w:val="00A56E95"/>
    <w:rsid w:val="00A56ECC"/>
    <w:rsid w:val="00A56FB0"/>
    <w:rsid w:val="00A570BD"/>
    <w:rsid w:val="00A57226"/>
    <w:rsid w:val="00A57234"/>
    <w:rsid w:val="00A57269"/>
    <w:rsid w:val="00A5730B"/>
    <w:rsid w:val="00A574C3"/>
    <w:rsid w:val="00A57696"/>
    <w:rsid w:val="00A576EB"/>
    <w:rsid w:val="00A57785"/>
    <w:rsid w:val="00A577B4"/>
    <w:rsid w:val="00A578C2"/>
    <w:rsid w:val="00A57913"/>
    <w:rsid w:val="00A57948"/>
    <w:rsid w:val="00A57950"/>
    <w:rsid w:val="00A57A1B"/>
    <w:rsid w:val="00A57A7D"/>
    <w:rsid w:val="00A57BE1"/>
    <w:rsid w:val="00A57C68"/>
    <w:rsid w:val="00A57D0B"/>
    <w:rsid w:val="00A57D92"/>
    <w:rsid w:val="00A57F9F"/>
    <w:rsid w:val="00A6010F"/>
    <w:rsid w:val="00A60273"/>
    <w:rsid w:val="00A6028A"/>
    <w:rsid w:val="00A603E8"/>
    <w:rsid w:val="00A6068A"/>
    <w:rsid w:val="00A6077B"/>
    <w:rsid w:val="00A6079A"/>
    <w:rsid w:val="00A607CA"/>
    <w:rsid w:val="00A60911"/>
    <w:rsid w:val="00A60DC3"/>
    <w:rsid w:val="00A61044"/>
    <w:rsid w:val="00A6105F"/>
    <w:rsid w:val="00A61062"/>
    <w:rsid w:val="00A6113C"/>
    <w:rsid w:val="00A6117F"/>
    <w:rsid w:val="00A61531"/>
    <w:rsid w:val="00A616B1"/>
    <w:rsid w:val="00A6174A"/>
    <w:rsid w:val="00A618D2"/>
    <w:rsid w:val="00A61986"/>
    <w:rsid w:val="00A619A4"/>
    <w:rsid w:val="00A61AB5"/>
    <w:rsid w:val="00A61AE0"/>
    <w:rsid w:val="00A61CFF"/>
    <w:rsid w:val="00A61D10"/>
    <w:rsid w:val="00A61F70"/>
    <w:rsid w:val="00A61FA1"/>
    <w:rsid w:val="00A6201D"/>
    <w:rsid w:val="00A620FB"/>
    <w:rsid w:val="00A623BC"/>
    <w:rsid w:val="00A62427"/>
    <w:rsid w:val="00A625EB"/>
    <w:rsid w:val="00A62669"/>
    <w:rsid w:val="00A62779"/>
    <w:rsid w:val="00A627A1"/>
    <w:rsid w:val="00A62854"/>
    <w:rsid w:val="00A62A58"/>
    <w:rsid w:val="00A62B7F"/>
    <w:rsid w:val="00A62C7E"/>
    <w:rsid w:val="00A6315F"/>
    <w:rsid w:val="00A6321A"/>
    <w:rsid w:val="00A63295"/>
    <w:rsid w:val="00A6378B"/>
    <w:rsid w:val="00A63790"/>
    <w:rsid w:val="00A63844"/>
    <w:rsid w:val="00A63878"/>
    <w:rsid w:val="00A63AD4"/>
    <w:rsid w:val="00A63E1F"/>
    <w:rsid w:val="00A63E81"/>
    <w:rsid w:val="00A63F10"/>
    <w:rsid w:val="00A64153"/>
    <w:rsid w:val="00A64288"/>
    <w:rsid w:val="00A642FE"/>
    <w:rsid w:val="00A643B7"/>
    <w:rsid w:val="00A6447C"/>
    <w:rsid w:val="00A645F5"/>
    <w:rsid w:val="00A64803"/>
    <w:rsid w:val="00A64829"/>
    <w:rsid w:val="00A648FA"/>
    <w:rsid w:val="00A64960"/>
    <w:rsid w:val="00A64ADA"/>
    <w:rsid w:val="00A64BA4"/>
    <w:rsid w:val="00A64C40"/>
    <w:rsid w:val="00A64D32"/>
    <w:rsid w:val="00A651AF"/>
    <w:rsid w:val="00A652EE"/>
    <w:rsid w:val="00A6542D"/>
    <w:rsid w:val="00A654BB"/>
    <w:rsid w:val="00A655BE"/>
    <w:rsid w:val="00A655D5"/>
    <w:rsid w:val="00A656B5"/>
    <w:rsid w:val="00A65703"/>
    <w:rsid w:val="00A65731"/>
    <w:rsid w:val="00A657C4"/>
    <w:rsid w:val="00A6589A"/>
    <w:rsid w:val="00A658E6"/>
    <w:rsid w:val="00A659EB"/>
    <w:rsid w:val="00A65AB2"/>
    <w:rsid w:val="00A65AD5"/>
    <w:rsid w:val="00A65B70"/>
    <w:rsid w:val="00A65CCE"/>
    <w:rsid w:val="00A65CEF"/>
    <w:rsid w:val="00A65D1E"/>
    <w:rsid w:val="00A65F4E"/>
    <w:rsid w:val="00A66298"/>
    <w:rsid w:val="00A662D1"/>
    <w:rsid w:val="00A662E5"/>
    <w:rsid w:val="00A6643A"/>
    <w:rsid w:val="00A66500"/>
    <w:rsid w:val="00A6691A"/>
    <w:rsid w:val="00A66963"/>
    <w:rsid w:val="00A66A57"/>
    <w:rsid w:val="00A66A7B"/>
    <w:rsid w:val="00A66B92"/>
    <w:rsid w:val="00A67072"/>
    <w:rsid w:val="00A670D6"/>
    <w:rsid w:val="00A671F5"/>
    <w:rsid w:val="00A67241"/>
    <w:rsid w:val="00A674E2"/>
    <w:rsid w:val="00A6752D"/>
    <w:rsid w:val="00A67796"/>
    <w:rsid w:val="00A677CE"/>
    <w:rsid w:val="00A6783E"/>
    <w:rsid w:val="00A6793E"/>
    <w:rsid w:val="00A67945"/>
    <w:rsid w:val="00A67A3A"/>
    <w:rsid w:val="00A67BFD"/>
    <w:rsid w:val="00A67D97"/>
    <w:rsid w:val="00A67E6D"/>
    <w:rsid w:val="00A67F70"/>
    <w:rsid w:val="00A67FE9"/>
    <w:rsid w:val="00A67FFD"/>
    <w:rsid w:val="00A70016"/>
    <w:rsid w:val="00A700C2"/>
    <w:rsid w:val="00A70351"/>
    <w:rsid w:val="00A70405"/>
    <w:rsid w:val="00A705EA"/>
    <w:rsid w:val="00A706B3"/>
    <w:rsid w:val="00A70833"/>
    <w:rsid w:val="00A7089D"/>
    <w:rsid w:val="00A708F9"/>
    <w:rsid w:val="00A709D0"/>
    <w:rsid w:val="00A70B7E"/>
    <w:rsid w:val="00A70C34"/>
    <w:rsid w:val="00A70C60"/>
    <w:rsid w:val="00A70CD9"/>
    <w:rsid w:val="00A71231"/>
    <w:rsid w:val="00A712D5"/>
    <w:rsid w:val="00A7149A"/>
    <w:rsid w:val="00A715E8"/>
    <w:rsid w:val="00A716CF"/>
    <w:rsid w:val="00A71883"/>
    <w:rsid w:val="00A71898"/>
    <w:rsid w:val="00A718A2"/>
    <w:rsid w:val="00A7191E"/>
    <w:rsid w:val="00A71B8D"/>
    <w:rsid w:val="00A71BBE"/>
    <w:rsid w:val="00A71C02"/>
    <w:rsid w:val="00A71CA8"/>
    <w:rsid w:val="00A71D3E"/>
    <w:rsid w:val="00A71DB3"/>
    <w:rsid w:val="00A71DC8"/>
    <w:rsid w:val="00A71EE9"/>
    <w:rsid w:val="00A71F65"/>
    <w:rsid w:val="00A71FC3"/>
    <w:rsid w:val="00A7217F"/>
    <w:rsid w:val="00A7221F"/>
    <w:rsid w:val="00A7226C"/>
    <w:rsid w:val="00A723E2"/>
    <w:rsid w:val="00A72493"/>
    <w:rsid w:val="00A72525"/>
    <w:rsid w:val="00A7259F"/>
    <w:rsid w:val="00A726B2"/>
    <w:rsid w:val="00A7274F"/>
    <w:rsid w:val="00A72790"/>
    <w:rsid w:val="00A728AF"/>
    <w:rsid w:val="00A7291F"/>
    <w:rsid w:val="00A729CF"/>
    <w:rsid w:val="00A72B98"/>
    <w:rsid w:val="00A72FC5"/>
    <w:rsid w:val="00A73253"/>
    <w:rsid w:val="00A73363"/>
    <w:rsid w:val="00A733B4"/>
    <w:rsid w:val="00A733E2"/>
    <w:rsid w:val="00A734B1"/>
    <w:rsid w:val="00A734D0"/>
    <w:rsid w:val="00A7352E"/>
    <w:rsid w:val="00A73591"/>
    <w:rsid w:val="00A737D5"/>
    <w:rsid w:val="00A73996"/>
    <w:rsid w:val="00A73A31"/>
    <w:rsid w:val="00A73AC7"/>
    <w:rsid w:val="00A73C58"/>
    <w:rsid w:val="00A73DD8"/>
    <w:rsid w:val="00A73E44"/>
    <w:rsid w:val="00A741E7"/>
    <w:rsid w:val="00A74247"/>
    <w:rsid w:val="00A74400"/>
    <w:rsid w:val="00A74483"/>
    <w:rsid w:val="00A744D7"/>
    <w:rsid w:val="00A74846"/>
    <w:rsid w:val="00A74B32"/>
    <w:rsid w:val="00A74BEB"/>
    <w:rsid w:val="00A74C8E"/>
    <w:rsid w:val="00A74EBD"/>
    <w:rsid w:val="00A74EEB"/>
    <w:rsid w:val="00A7505B"/>
    <w:rsid w:val="00A75067"/>
    <w:rsid w:val="00A751E1"/>
    <w:rsid w:val="00A75357"/>
    <w:rsid w:val="00A7541B"/>
    <w:rsid w:val="00A7542D"/>
    <w:rsid w:val="00A75776"/>
    <w:rsid w:val="00A757BF"/>
    <w:rsid w:val="00A7582B"/>
    <w:rsid w:val="00A7586B"/>
    <w:rsid w:val="00A75A1F"/>
    <w:rsid w:val="00A75A5D"/>
    <w:rsid w:val="00A75AA5"/>
    <w:rsid w:val="00A75AF3"/>
    <w:rsid w:val="00A75BDF"/>
    <w:rsid w:val="00A75C8A"/>
    <w:rsid w:val="00A75D26"/>
    <w:rsid w:val="00A76039"/>
    <w:rsid w:val="00A763B6"/>
    <w:rsid w:val="00A76408"/>
    <w:rsid w:val="00A765D9"/>
    <w:rsid w:val="00A76685"/>
    <w:rsid w:val="00A76A93"/>
    <w:rsid w:val="00A76C38"/>
    <w:rsid w:val="00A76D5C"/>
    <w:rsid w:val="00A76D8B"/>
    <w:rsid w:val="00A76EB8"/>
    <w:rsid w:val="00A76F89"/>
    <w:rsid w:val="00A770CD"/>
    <w:rsid w:val="00A77259"/>
    <w:rsid w:val="00A7732B"/>
    <w:rsid w:val="00A77518"/>
    <w:rsid w:val="00A775E8"/>
    <w:rsid w:val="00A777BE"/>
    <w:rsid w:val="00A77822"/>
    <w:rsid w:val="00A77875"/>
    <w:rsid w:val="00A77880"/>
    <w:rsid w:val="00A778E4"/>
    <w:rsid w:val="00A7794D"/>
    <w:rsid w:val="00A77E0A"/>
    <w:rsid w:val="00A80192"/>
    <w:rsid w:val="00A801CC"/>
    <w:rsid w:val="00A8038F"/>
    <w:rsid w:val="00A803F3"/>
    <w:rsid w:val="00A80462"/>
    <w:rsid w:val="00A8046A"/>
    <w:rsid w:val="00A8058F"/>
    <w:rsid w:val="00A80677"/>
    <w:rsid w:val="00A80A57"/>
    <w:rsid w:val="00A80C40"/>
    <w:rsid w:val="00A80C5E"/>
    <w:rsid w:val="00A80FA8"/>
    <w:rsid w:val="00A812ED"/>
    <w:rsid w:val="00A8190C"/>
    <w:rsid w:val="00A81AF5"/>
    <w:rsid w:val="00A81C37"/>
    <w:rsid w:val="00A81DDF"/>
    <w:rsid w:val="00A8202B"/>
    <w:rsid w:val="00A82090"/>
    <w:rsid w:val="00A82110"/>
    <w:rsid w:val="00A82215"/>
    <w:rsid w:val="00A82358"/>
    <w:rsid w:val="00A824A2"/>
    <w:rsid w:val="00A82585"/>
    <w:rsid w:val="00A82722"/>
    <w:rsid w:val="00A8278E"/>
    <w:rsid w:val="00A828C7"/>
    <w:rsid w:val="00A8296A"/>
    <w:rsid w:val="00A829D5"/>
    <w:rsid w:val="00A82A8C"/>
    <w:rsid w:val="00A82D73"/>
    <w:rsid w:val="00A82F81"/>
    <w:rsid w:val="00A8303D"/>
    <w:rsid w:val="00A830D3"/>
    <w:rsid w:val="00A831D6"/>
    <w:rsid w:val="00A832CF"/>
    <w:rsid w:val="00A83340"/>
    <w:rsid w:val="00A8353B"/>
    <w:rsid w:val="00A83604"/>
    <w:rsid w:val="00A8392E"/>
    <w:rsid w:val="00A839DB"/>
    <w:rsid w:val="00A83B90"/>
    <w:rsid w:val="00A83CA4"/>
    <w:rsid w:val="00A83E4D"/>
    <w:rsid w:val="00A83ED5"/>
    <w:rsid w:val="00A83F6F"/>
    <w:rsid w:val="00A83F9E"/>
    <w:rsid w:val="00A83FAC"/>
    <w:rsid w:val="00A840A3"/>
    <w:rsid w:val="00A84246"/>
    <w:rsid w:val="00A84499"/>
    <w:rsid w:val="00A84890"/>
    <w:rsid w:val="00A848BD"/>
    <w:rsid w:val="00A84C43"/>
    <w:rsid w:val="00A84E5C"/>
    <w:rsid w:val="00A84E6F"/>
    <w:rsid w:val="00A84E8A"/>
    <w:rsid w:val="00A84F74"/>
    <w:rsid w:val="00A85080"/>
    <w:rsid w:val="00A8524B"/>
    <w:rsid w:val="00A853BC"/>
    <w:rsid w:val="00A85450"/>
    <w:rsid w:val="00A8560A"/>
    <w:rsid w:val="00A85633"/>
    <w:rsid w:val="00A8565E"/>
    <w:rsid w:val="00A856EE"/>
    <w:rsid w:val="00A858BD"/>
    <w:rsid w:val="00A85924"/>
    <w:rsid w:val="00A85A72"/>
    <w:rsid w:val="00A85B7E"/>
    <w:rsid w:val="00A85C4E"/>
    <w:rsid w:val="00A85C52"/>
    <w:rsid w:val="00A85D1E"/>
    <w:rsid w:val="00A86206"/>
    <w:rsid w:val="00A862F9"/>
    <w:rsid w:val="00A86303"/>
    <w:rsid w:val="00A8635B"/>
    <w:rsid w:val="00A863C8"/>
    <w:rsid w:val="00A86740"/>
    <w:rsid w:val="00A8681A"/>
    <w:rsid w:val="00A86835"/>
    <w:rsid w:val="00A869E7"/>
    <w:rsid w:val="00A86A41"/>
    <w:rsid w:val="00A86D78"/>
    <w:rsid w:val="00A86D79"/>
    <w:rsid w:val="00A86E31"/>
    <w:rsid w:val="00A86E36"/>
    <w:rsid w:val="00A870FE"/>
    <w:rsid w:val="00A8718A"/>
    <w:rsid w:val="00A87197"/>
    <w:rsid w:val="00A87400"/>
    <w:rsid w:val="00A87480"/>
    <w:rsid w:val="00A87678"/>
    <w:rsid w:val="00A876A4"/>
    <w:rsid w:val="00A87978"/>
    <w:rsid w:val="00A87B1F"/>
    <w:rsid w:val="00A87DC2"/>
    <w:rsid w:val="00A87DDA"/>
    <w:rsid w:val="00A9027D"/>
    <w:rsid w:val="00A902CE"/>
    <w:rsid w:val="00A905B9"/>
    <w:rsid w:val="00A90656"/>
    <w:rsid w:val="00A90A8B"/>
    <w:rsid w:val="00A90AE4"/>
    <w:rsid w:val="00A90B65"/>
    <w:rsid w:val="00A90BBD"/>
    <w:rsid w:val="00A90E53"/>
    <w:rsid w:val="00A90E6A"/>
    <w:rsid w:val="00A90EBD"/>
    <w:rsid w:val="00A90EE1"/>
    <w:rsid w:val="00A911FC"/>
    <w:rsid w:val="00A914B0"/>
    <w:rsid w:val="00A914F3"/>
    <w:rsid w:val="00A914FC"/>
    <w:rsid w:val="00A91785"/>
    <w:rsid w:val="00A91795"/>
    <w:rsid w:val="00A918EB"/>
    <w:rsid w:val="00A918F4"/>
    <w:rsid w:val="00A91900"/>
    <w:rsid w:val="00A919F1"/>
    <w:rsid w:val="00A91AD6"/>
    <w:rsid w:val="00A91B79"/>
    <w:rsid w:val="00A91DAA"/>
    <w:rsid w:val="00A91E25"/>
    <w:rsid w:val="00A91E61"/>
    <w:rsid w:val="00A91E76"/>
    <w:rsid w:val="00A921EE"/>
    <w:rsid w:val="00A92232"/>
    <w:rsid w:val="00A92280"/>
    <w:rsid w:val="00A92326"/>
    <w:rsid w:val="00A92347"/>
    <w:rsid w:val="00A924EF"/>
    <w:rsid w:val="00A925A3"/>
    <w:rsid w:val="00A925C5"/>
    <w:rsid w:val="00A92632"/>
    <w:rsid w:val="00A92961"/>
    <w:rsid w:val="00A92BC0"/>
    <w:rsid w:val="00A92BD2"/>
    <w:rsid w:val="00A92BE9"/>
    <w:rsid w:val="00A92D2D"/>
    <w:rsid w:val="00A92DFF"/>
    <w:rsid w:val="00A92E09"/>
    <w:rsid w:val="00A92E0C"/>
    <w:rsid w:val="00A92F3A"/>
    <w:rsid w:val="00A92FCA"/>
    <w:rsid w:val="00A931F6"/>
    <w:rsid w:val="00A93287"/>
    <w:rsid w:val="00A932D1"/>
    <w:rsid w:val="00A933AD"/>
    <w:rsid w:val="00A93440"/>
    <w:rsid w:val="00A934CC"/>
    <w:rsid w:val="00A934E0"/>
    <w:rsid w:val="00A935EA"/>
    <w:rsid w:val="00A93643"/>
    <w:rsid w:val="00A9367A"/>
    <w:rsid w:val="00A936C9"/>
    <w:rsid w:val="00A938A3"/>
    <w:rsid w:val="00A93966"/>
    <w:rsid w:val="00A93A75"/>
    <w:rsid w:val="00A93B3E"/>
    <w:rsid w:val="00A93BDF"/>
    <w:rsid w:val="00A93CD1"/>
    <w:rsid w:val="00A93D5C"/>
    <w:rsid w:val="00A93E2E"/>
    <w:rsid w:val="00A93E6C"/>
    <w:rsid w:val="00A93E88"/>
    <w:rsid w:val="00A93EF0"/>
    <w:rsid w:val="00A94122"/>
    <w:rsid w:val="00A94273"/>
    <w:rsid w:val="00A942F4"/>
    <w:rsid w:val="00A94428"/>
    <w:rsid w:val="00A9476D"/>
    <w:rsid w:val="00A947D8"/>
    <w:rsid w:val="00A94927"/>
    <w:rsid w:val="00A949DF"/>
    <w:rsid w:val="00A949E4"/>
    <w:rsid w:val="00A94A6B"/>
    <w:rsid w:val="00A94A84"/>
    <w:rsid w:val="00A94A90"/>
    <w:rsid w:val="00A94B26"/>
    <w:rsid w:val="00A94B31"/>
    <w:rsid w:val="00A94C5C"/>
    <w:rsid w:val="00A94CEA"/>
    <w:rsid w:val="00A94D6A"/>
    <w:rsid w:val="00A94D8B"/>
    <w:rsid w:val="00A94E70"/>
    <w:rsid w:val="00A94EDF"/>
    <w:rsid w:val="00A950C4"/>
    <w:rsid w:val="00A950DE"/>
    <w:rsid w:val="00A9529C"/>
    <w:rsid w:val="00A95584"/>
    <w:rsid w:val="00A95636"/>
    <w:rsid w:val="00A9563C"/>
    <w:rsid w:val="00A9573A"/>
    <w:rsid w:val="00A95DF1"/>
    <w:rsid w:val="00A95DFC"/>
    <w:rsid w:val="00A95F1B"/>
    <w:rsid w:val="00A95FB9"/>
    <w:rsid w:val="00A96055"/>
    <w:rsid w:val="00A960CD"/>
    <w:rsid w:val="00A96526"/>
    <w:rsid w:val="00A9661B"/>
    <w:rsid w:val="00A966EA"/>
    <w:rsid w:val="00A96734"/>
    <w:rsid w:val="00A96C00"/>
    <w:rsid w:val="00A96C62"/>
    <w:rsid w:val="00A96C88"/>
    <w:rsid w:val="00A96F87"/>
    <w:rsid w:val="00A97189"/>
    <w:rsid w:val="00A971F1"/>
    <w:rsid w:val="00A97222"/>
    <w:rsid w:val="00A9730A"/>
    <w:rsid w:val="00A97319"/>
    <w:rsid w:val="00A97345"/>
    <w:rsid w:val="00A9737F"/>
    <w:rsid w:val="00A975B5"/>
    <w:rsid w:val="00A975E4"/>
    <w:rsid w:val="00A97609"/>
    <w:rsid w:val="00A97767"/>
    <w:rsid w:val="00A977E5"/>
    <w:rsid w:val="00A978D5"/>
    <w:rsid w:val="00A979A6"/>
    <w:rsid w:val="00A97A9C"/>
    <w:rsid w:val="00A97AFC"/>
    <w:rsid w:val="00A97B77"/>
    <w:rsid w:val="00A97E4D"/>
    <w:rsid w:val="00AA0002"/>
    <w:rsid w:val="00AA01A3"/>
    <w:rsid w:val="00AA0451"/>
    <w:rsid w:val="00AA074B"/>
    <w:rsid w:val="00AA0759"/>
    <w:rsid w:val="00AA0C40"/>
    <w:rsid w:val="00AA0D21"/>
    <w:rsid w:val="00AA0EF6"/>
    <w:rsid w:val="00AA121C"/>
    <w:rsid w:val="00AA16AC"/>
    <w:rsid w:val="00AA173E"/>
    <w:rsid w:val="00AA18A5"/>
    <w:rsid w:val="00AA1B9B"/>
    <w:rsid w:val="00AA1C22"/>
    <w:rsid w:val="00AA1ED5"/>
    <w:rsid w:val="00AA1F2C"/>
    <w:rsid w:val="00AA2045"/>
    <w:rsid w:val="00AA20DD"/>
    <w:rsid w:val="00AA20F5"/>
    <w:rsid w:val="00AA2252"/>
    <w:rsid w:val="00AA2256"/>
    <w:rsid w:val="00AA2276"/>
    <w:rsid w:val="00AA22A2"/>
    <w:rsid w:val="00AA22B4"/>
    <w:rsid w:val="00AA2471"/>
    <w:rsid w:val="00AA2802"/>
    <w:rsid w:val="00AA2969"/>
    <w:rsid w:val="00AA2C50"/>
    <w:rsid w:val="00AA2D22"/>
    <w:rsid w:val="00AA2E2F"/>
    <w:rsid w:val="00AA3079"/>
    <w:rsid w:val="00AA3374"/>
    <w:rsid w:val="00AA35FF"/>
    <w:rsid w:val="00AA3617"/>
    <w:rsid w:val="00AA3659"/>
    <w:rsid w:val="00AA3734"/>
    <w:rsid w:val="00AA385C"/>
    <w:rsid w:val="00AA3882"/>
    <w:rsid w:val="00AA391A"/>
    <w:rsid w:val="00AA3927"/>
    <w:rsid w:val="00AA39A4"/>
    <w:rsid w:val="00AA3B66"/>
    <w:rsid w:val="00AA3DC8"/>
    <w:rsid w:val="00AA3E78"/>
    <w:rsid w:val="00AA4044"/>
    <w:rsid w:val="00AA43A4"/>
    <w:rsid w:val="00AA463B"/>
    <w:rsid w:val="00AA4845"/>
    <w:rsid w:val="00AA4977"/>
    <w:rsid w:val="00AA4BB3"/>
    <w:rsid w:val="00AA4C5E"/>
    <w:rsid w:val="00AA4D28"/>
    <w:rsid w:val="00AA4EDF"/>
    <w:rsid w:val="00AA4F82"/>
    <w:rsid w:val="00AA4F8A"/>
    <w:rsid w:val="00AA4FB8"/>
    <w:rsid w:val="00AA5036"/>
    <w:rsid w:val="00AA53E2"/>
    <w:rsid w:val="00AA5526"/>
    <w:rsid w:val="00AA57B9"/>
    <w:rsid w:val="00AA5912"/>
    <w:rsid w:val="00AA5D51"/>
    <w:rsid w:val="00AA5E5E"/>
    <w:rsid w:val="00AA5EDF"/>
    <w:rsid w:val="00AA5F44"/>
    <w:rsid w:val="00AA6021"/>
    <w:rsid w:val="00AA6088"/>
    <w:rsid w:val="00AA611A"/>
    <w:rsid w:val="00AA61FD"/>
    <w:rsid w:val="00AA6242"/>
    <w:rsid w:val="00AA631A"/>
    <w:rsid w:val="00AA66EB"/>
    <w:rsid w:val="00AA6728"/>
    <w:rsid w:val="00AA69DA"/>
    <w:rsid w:val="00AA6D97"/>
    <w:rsid w:val="00AA73E2"/>
    <w:rsid w:val="00AA7575"/>
    <w:rsid w:val="00AA7945"/>
    <w:rsid w:val="00AA7AB7"/>
    <w:rsid w:val="00AA7AE4"/>
    <w:rsid w:val="00AA7BD5"/>
    <w:rsid w:val="00AA7F94"/>
    <w:rsid w:val="00AB019A"/>
    <w:rsid w:val="00AB019C"/>
    <w:rsid w:val="00AB01E6"/>
    <w:rsid w:val="00AB023A"/>
    <w:rsid w:val="00AB06DC"/>
    <w:rsid w:val="00AB080F"/>
    <w:rsid w:val="00AB0944"/>
    <w:rsid w:val="00AB0A06"/>
    <w:rsid w:val="00AB0A0D"/>
    <w:rsid w:val="00AB0A3F"/>
    <w:rsid w:val="00AB0C33"/>
    <w:rsid w:val="00AB0C64"/>
    <w:rsid w:val="00AB0D69"/>
    <w:rsid w:val="00AB1462"/>
    <w:rsid w:val="00AB1464"/>
    <w:rsid w:val="00AB1607"/>
    <w:rsid w:val="00AB165C"/>
    <w:rsid w:val="00AB173E"/>
    <w:rsid w:val="00AB1820"/>
    <w:rsid w:val="00AB189B"/>
    <w:rsid w:val="00AB18C2"/>
    <w:rsid w:val="00AB19D9"/>
    <w:rsid w:val="00AB19E8"/>
    <w:rsid w:val="00AB1AD8"/>
    <w:rsid w:val="00AB1E38"/>
    <w:rsid w:val="00AB1E4C"/>
    <w:rsid w:val="00AB1EEF"/>
    <w:rsid w:val="00AB20A0"/>
    <w:rsid w:val="00AB2103"/>
    <w:rsid w:val="00AB2107"/>
    <w:rsid w:val="00AB2163"/>
    <w:rsid w:val="00AB21A6"/>
    <w:rsid w:val="00AB222A"/>
    <w:rsid w:val="00AB2246"/>
    <w:rsid w:val="00AB22FE"/>
    <w:rsid w:val="00AB2332"/>
    <w:rsid w:val="00AB2463"/>
    <w:rsid w:val="00AB2534"/>
    <w:rsid w:val="00AB25F7"/>
    <w:rsid w:val="00AB2621"/>
    <w:rsid w:val="00AB26AD"/>
    <w:rsid w:val="00AB26BA"/>
    <w:rsid w:val="00AB26D3"/>
    <w:rsid w:val="00AB27E5"/>
    <w:rsid w:val="00AB29FC"/>
    <w:rsid w:val="00AB2B9E"/>
    <w:rsid w:val="00AB2C1B"/>
    <w:rsid w:val="00AB2D32"/>
    <w:rsid w:val="00AB2E8F"/>
    <w:rsid w:val="00AB2E96"/>
    <w:rsid w:val="00AB2FDF"/>
    <w:rsid w:val="00AB3114"/>
    <w:rsid w:val="00AB31B2"/>
    <w:rsid w:val="00AB3353"/>
    <w:rsid w:val="00AB33B7"/>
    <w:rsid w:val="00AB33CD"/>
    <w:rsid w:val="00AB343B"/>
    <w:rsid w:val="00AB37EC"/>
    <w:rsid w:val="00AB3AB5"/>
    <w:rsid w:val="00AB3E0E"/>
    <w:rsid w:val="00AB3E3A"/>
    <w:rsid w:val="00AB3EB0"/>
    <w:rsid w:val="00AB3F60"/>
    <w:rsid w:val="00AB3F7C"/>
    <w:rsid w:val="00AB404F"/>
    <w:rsid w:val="00AB41CB"/>
    <w:rsid w:val="00AB420B"/>
    <w:rsid w:val="00AB4285"/>
    <w:rsid w:val="00AB4291"/>
    <w:rsid w:val="00AB43C9"/>
    <w:rsid w:val="00AB4695"/>
    <w:rsid w:val="00AB489F"/>
    <w:rsid w:val="00AB4A68"/>
    <w:rsid w:val="00AB4A7B"/>
    <w:rsid w:val="00AB4BDC"/>
    <w:rsid w:val="00AB4C61"/>
    <w:rsid w:val="00AB4C89"/>
    <w:rsid w:val="00AB4D1F"/>
    <w:rsid w:val="00AB4D47"/>
    <w:rsid w:val="00AB4D7F"/>
    <w:rsid w:val="00AB4E20"/>
    <w:rsid w:val="00AB4E5E"/>
    <w:rsid w:val="00AB4FFD"/>
    <w:rsid w:val="00AB50B5"/>
    <w:rsid w:val="00AB5207"/>
    <w:rsid w:val="00AB57C1"/>
    <w:rsid w:val="00AB57D8"/>
    <w:rsid w:val="00AB581D"/>
    <w:rsid w:val="00AB5821"/>
    <w:rsid w:val="00AB5861"/>
    <w:rsid w:val="00AB59BC"/>
    <w:rsid w:val="00AB5B1E"/>
    <w:rsid w:val="00AB5BD7"/>
    <w:rsid w:val="00AB5D53"/>
    <w:rsid w:val="00AB5F16"/>
    <w:rsid w:val="00AB6079"/>
    <w:rsid w:val="00AB6134"/>
    <w:rsid w:val="00AB6156"/>
    <w:rsid w:val="00AB63B5"/>
    <w:rsid w:val="00AB6520"/>
    <w:rsid w:val="00AB6722"/>
    <w:rsid w:val="00AB6842"/>
    <w:rsid w:val="00AB6A6C"/>
    <w:rsid w:val="00AB6A9C"/>
    <w:rsid w:val="00AB6B6A"/>
    <w:rsid w:val="00AB6B81"/>
    <w:rsid w:val="00AB6BDF"/>
    <w:rsid w:val="00AB6DC8"/>
    <w:rsid w:val="00AB7237"/>
    <w:rsid w:val="00AB72E9"/>
    <w:rsid w:val="00AB75A2"/>
    <w:rsid w:val="00AB7A0F"/>
    <w:rsid w:val="00AB7A61"/>
    <w:rsid w:val="00AB7B4F"/>
    <w:rsid w:val="00AB7B62"/>
    <w:rsid w:val="00AB7EDA"/>
    <w:rsid w:val="00AB7F3B"/>
    <w:rsid w:val="00AC0075"/>
    <w:rsid w:val="00AC0165"/>
    <w:rsid w:val="00AC0319"/>
    <w:rsid w:val="00AC0336"/>
    <w:rsid w:val="00AC04AA"/>
    <w:rsid w:val="00AC09D2"/>
    <w:rsid w:val="00AC0A36"/>
    <w:rsid w:val="00AC0C1D"/>
    <w:rsid w:val="00AC0F3F"/>
    <w:rsid w:val="00AC0FEB"/>
    <w:rsid w:val="00AC132E"/>
    <w:rsid w:val="00AC1387"/>
    <w:rsid w:val="00AC13DA"/>
    <w:rsid w:val="00AC1539"/>
    <w:rsid w:val="00AC1761"/>
    <w:rsid w:val="00AC1765"/>
    <w:rsid w:val="00AC19F1"/>
    <w:rsid w:val="00AC1B73"/>
    <w:rsid w:val="00AC1C36"/>
    <w:rsid w:val="00AC1C50"/>
    <w:rsid w:val="00AC1CCA"/>
    <w:rsid w:val="00AC1DA9"/>
    <w:rsid w:val="00AC1F51"/>
    <w:rsid w:val="00AC203D"/>
    <w:rsid w:val="00AC20DB"/>
    <w:rsid w:val="00AC222D"/>
    <w:rsid w:val="00AC2760"/>
    <w:rsid w:val="00AC2859"/>
    <w:rsid w:val="00AC2929"/>
    <w:rsid w:val="00AC29F7"/>
    <w:rsid w:val="00AC29FA"/>
    <w:rsid w:val="00AC2B4F"/>
    <w:rsid w:val="00AC2B7D"/>
    <w:rsid w:val="00AC2C73"/>
    <w:rsid w:val="00AC2DE2"/>
    <w:rsid w:val="00AC2E20"/>
    <w:rsid w:val="00AC2E7F"/>
    <w:rsid w:val="00AC2F3B"/>
    <w:rsid w:val="00AC3192"/>
    <w:rsid w:val="00AC3300"/>
    <w:rsid w:val="00AC3389"/>
    <w:rsid w:val="00AC33A2"/>
    <w:rsid w:val="00AC3412"/>
    <w:rsid w:val="00AC34DE"/>
    <w:rsid w:val="00AC3696"/>
    <w:rsid w:val="00AC3752"/>
    <w:rsid w:val="00AC394C"/>
    <w:rsid w:val="00AC3A51"/>
    <w:rsid w:val="00AC3D49"/>
    <w:rsid w:val="00AC3D63"/>
    <w:rsid w:val="00AC3DBB"/>
    <w:rsid w:val="00AC3DD1"/>
    <w:rsid w:val="00AC3E43"/>
    <w:rsid w:val="00AC3FD6"/>
    <w:rsid w:val="00AC4039"/>
    <w:rsid w:val="00AC4086"/>
    <w:rsid w:val="00AC40B5"/>
    <w:rsid w:val="00AC45F9"/>
    <w:rsid w:val="00AC4732"/>
    <w:rsid w:val="00AC4741"/>
    <w:rsid w:val="00AC480A"/>
    <w:rsid w:val="00AC4822"/>
    <w:rsid w:val="00AC4C4C"/>
    <w:rsid w:val="00AC4CF9"/>
    <w:rsid w:val="00AC4DC8"/>
    <w:rsid w:val="00AC4DF4"/>
    <w:rsid w:val="00AC4E2A"/>
    <w:rsid w:val="00AC4E52"/>
    <w:rsid w:val="00AC508F"/>
    <w:rsid w:val="00AC5264"/>
    <w:rsid w:val="00AC528F"/>
    <w:rsid w:val="00AC5338"/>
    <w:rsid w:val="00AC541E"/>
    <w:rsid w:val="00AC54BB"/>
    <w:rsid w:val="00AC5523"/>
    <w:rsid w:val="00AC5599"/>
    <w:rsid w:val="00AC55AF"/>
    <w:rsid w:val="00AC55DF"/>
    <w:rsid w:val="00AC58CE"/>
    <w:rsid w:val="00AC5A44"/>
    <w:rsid w:val="00AC5A68"/>
    <w:rsid w:val="00AC5CDD"/>
    <w:rsid w:val="00AC5DDA"/>
    <w:rsid w:val="00AC5F8A"/>
    <w:rsid w:val="00AC6044"/>
    <w:rsid w:val="00AC6113"/>
    <w:rsid w:val="00AC615F"/>
    <w:rsid w:val="00AC62C1"/>
    <w:rsid w:val="00AC63E7"/>
    <w:rsid w:val="00AC6535"/>
    <w:rsid w:val="00AC65EB"/>
    <w:rsid w:val="00AC65EE"/>
    <w:rsid w:val="00AC677D"/>
    <w:rsid w:val="00AC6893"/>
    <w:rsid w:val="00AC6CF6"/>
    <w:rsid w:val="00AC6DC9"/>
    <w:rsid w:val="00AC6E8A"/>
    <w:rsid w:val="00AC6EC3"/>
    <w:rsid w:val="00AC7023"/>
    <w:rsid w:val="00AC7034"/>
    <w:rsid w:val="00AC726D"/>
    <w:rsid w:val="00AC72DD"/>
    <w:rsid w:val="00AC7506"/>
    <w:rsid w:val="00AC7599"/>
    <w:rsid w:val="00AC765C"/>
    <w:rsid w:val="00AC781B"/>
    <w:rsid w:val="00AC7838"/>
    <w:rsid w:val="00AC7A86"/>
    <w:rsid w:val="00AC7ED9"/>
    <w:rsid w:val="00AD0083"/>
    <w:rsid w:val="00AD00E6"/>
    <w:rsid w:val="00AD0167"/>
    <w:rsid w:val="00AD01E4"/>
    <w:rsid w:val="00AD0743"/>
    <w:rsid w:val="00AD085E"/>
    <w:rsid w:val="00AD095B"/>
    <w:rsid w:val="00AD0A99"/>
    <w:rsid w:val="00AD0D0A"/>
    <w:rsid w:val="00AD0E15"/>
    <w:rsid w:val="00AD0EA1"/>
    <w:rsid w:val="00AD0F6A"/>
    <w:rsid w:val="00AD0FDF"/>
    <w:rsid w:val="00AD10FE"/>
    <w:rsid w:val="00AD1138"/>
    <w:rsid w:val="00AD1228"/>
    <w:rsid w:val="00AD12B3"/>
    <w:rsid w:val="00AD133B"/>
    <w:rsid w:val="00AD1462"/>
    <w:rsid w:val="00AD1892"/>
    <w:rsid w:val="00AD18A7"/>
    <w:rsid w:val="00AD19B7"/>
    <w:rsid w:val="00AD1ACD"/>
    <w:rsid w:val="00AD1B10"/>
    <w:rsid w:val="00AD1C4A"/>
    <w:rsid w:val="00AD1D43"/>
    <w:rsid w:val="00AD1EEA"/>
    <w:rsid w:val="00AD21C6"/>
    <w:rsid w:val="00AD223E"/>
    <w:rsid w:val="00AD227A"/>
    <w:rsid w:val="00AD23B0"/>
    <w:rsid w:val="00AD2495"/>
    <w:rsid w:val="00AD257D"/>
    <w:rsid w:val="00AD265D"/>
    <w:rsid w:val="00AD2691"/>
    <w:rsid w:val="00AD280E"/>
    <w:rsid w:val="00AD2847"/>
    <w:rsid w:val="00AD28FC"/>
    <w:rsid w:val="00AD2906"/>
    <w:rsid w:val="00AD2B16"/>
    <w:rsid w:val="00AD2B7D"/>
    <w:rsid w:val="00AD2B80"/>
    <w:rsid w:val="00AD2C45"/>
    <w:rsid w:val="00AD2C4A"/>
    <w:rsid w:val="00AD2CA3"/>
    <w:rsid w:val="00AD2DDB"/>
    <w:rsid w:val="00AD31D6"/>
    <w:rsid w:val="00AD31DB"/>
    <w:rsid w:val="00AD342B"/>
    <w:rsid w:val="00AD3473"/>
    <w:rsid w:val="00AD349A"/>
    <w:rsid w:val="00AD367A"/>
    <w:rsid w:val="00AD380C"/>
    <w:rsid w:val="00AD387E"/>
    <w:rsid w:val="00AD3A85"/>
    <w:rsid w:val="00AD3AAC"/>
    <w:rsid w:val="00AD3CDA"/>
    <w:rsid w:val="00AD3D98"/>
    <w:rsid w:val="00AD3E05"/>
    <w:rsid w:val="00AD3E24"/>
    <w:rsid w:val="00AD3E4A"/>
    <w:rsid w:val="00AD3F3C"/>
    <w:rsid w:val="00AD401B"/>
    <w:rsid w:val="00AD4182"/>
    <w:rsid w:val="00AD44AC"/>
    <w:rsid w:val="00AD461B"/>
    <w:rsid w:val="00AD461D"/>
    <w:rsid w:val="00AD4671"/>
    <w:rsid w:val="00AD469F"/>
    <w:rsid w:val="00AD4725"/>
    <w:rsid w:val="00AD4802"/>
    <w:rsid w:val="00AD49C8"/>
    <w:rsid w:val="00AD49D0"/>
    <w:rsid w:val="00AD4C2C"/>
    <w:rsid w:val="00AD5175"/>
    <w:rsid w:val="00AD5272"/>
    <w:rsid w:val="00AD5319"/>
    <w:rsid w:val="00AD5323"/>
    <w:rsid w:val="00AD5382"/>
    <w:rsid w:val="00AD54C8"/>
    <w:rsid w:val="00AD564E"/>
    <w:rsid w:val="00AD56A6"/>
    <w:rsid w:val="00AD56D3"/>
    <w:rsid w:val="00AD56DC"/>
    <w:rsid w:val="00AD575F"/>
    <w:rsid w:val="00AD5768"/>
    <w:rsid w:val="00AD5853"/>
    <w:rsid w:val="00AD5863"/>
    <w:rsid w:val="00AD5897"/>
    <w:rsid w:val="00AD5C57"/>
    <w:rsid w:val="00AD5C6D"/>
    <w:rsid w:val="00AD5C7F"/>
    <w:rsid w:val="00AD5DC3"/>
    <w:rsid w:val="00AD5EA0"/>
    <w:rsid w:val="00AD606A"/>
    <w:rsid w:val="00AD61D7"/>
    <w:rsid w:val="00AD6297"/>
    <w:rsid w:val="00AD64A8"/>
    <w:rsid w:val="00AD65D0"/>
    <w:rsid w:val="00AD68BB"/>
    <w:rsid w:val="00AD69A0"/>
    <w:rsid w:val="00AD6E10"/>
    <w:rsid w:val="00AD70D2"/>
    <w:rsid w:val="00AD70EF"/>
    <w:rsid w:val="00AD71B9"/>
    <w:rsid w:val="00AD723F"/>
    <w:rsid w:val="00AD7356"/>
    <w:rsid w:val="00AD7567"/>
    <w:rsid w:val="00AD7612"/>
    <w:rsid w:val="00AD7620"/>
    <w:rsid w:val="00AD764C"/>
    <w:rsid w:val="00AD77A5"/>
    <w:rsid w:val="00AD7A71"/>
    <w:rsid w:val="00AD7CC4"/>
    <w:rsid w:val="00AD7D6C"/>
    <w:rsid w:val="00AD7FEC"/>
    <w:rsid w:val="00AE0020"/>
    <w:rsid w:val="00AE0516"/>
    <w:rsid w:val="00AE0583"/>
    <w:rsid w:val="00AE0773"/>
    <w:rsid w:val="00AE0792"/>
    <w:rsid w:val="00AE079B"/>
    <w:rsid w:val="00AE0A9C"/>
    <w:rsid w:val="00AE0BB9"/>
    <w:rsid w:val="00AE0D2B"/>
    <w:rsid w:val="00AE10B6"/>
    <w:rsid w:val="00AE12A1"/>
    <w:rsid w:val="00AE12B7"/>
    <w:rsid w:val="00AE1367"/>
    <w:rsid w:val="00AE145D"/>
    <w:rsid w:val="00AE1538"/>
    <w:rsid w:val="00AE1553"/>
    <w:rsid w:val="00AE163D"/>
    <w:rsid w:val="00AE16C2"/>
    <w:rsid w:val="00AE16C9"/>
    <w:rsid w:val="00AE193B"/>
    <w:rsid w:val="00AE19EC"/>
    <w:rsid w:val="00AE1A10"/>
    <w:rsid w:val="00AE1D92"/>
    <w:rsid w:val="00AE1DB3"/>
    <w:rsid w:val="00AE1E8B"/>
    <w:rsid w:val="00AE2138"/>
    <w:rsid w:val="00AE21D7"/>
    <w:rsid w:val="00AE22A8"/>
    <w:rsid w:val="00AE22E0"/>
    <w:rsid w:val="00AE2313"/>
    <w:rsid w:val="00AE2356"/>
    <w:rsid w:val="00AE2394"/>
    <w:rsid w:val="00AE2563"/>
    <w:rsid w:val="00AE2676"/>
    <w:rsid w:val="00AE26CF"/>
    <w:rsid w:val="00AE275D"/>
    <w:rsid w:val="00AE27F4"/>
    <w:rsid w:val="00AE2985"/>
    <w:rsid w:val="00AE2C7A"/>
    <w:rsid w:val="00AE2D79"/>
    <w:rsid w:val="00AE2E1B"/>
    <w:rsid w:val="00AE2E9B"/>
    <w:rsid w:val="00AE2ECB"/>
    <w:rsid w:val="00AE2ED6"/>
    <w:rsid w:val="00AE2F6A"/>
    <w:rsid w:val="00AE30DF"/>
    <w:rsid w:val="00AE31B2"/>
    <w:rsid w:val="00AE33B7"/>
    <w:rsid w:val="00AE35A7"/>
    <w:rsid w:val="00AE36EB"/>
    <w:rsid w:val="00AE3998"/>
    <w:rsid w:val="00AE39A1"/>
    <w:rsid w:val="00AE3A0E"/>
    <w:rsid w:val="00AE3C11"/>
    <w:rsid w:val="00AE3C26"/>
    <w:rsid w:val="00AE3C81"/>
    <w:rsid w:val="00AE3E8F"/>
    <w:rsid w:val="00AE3F2B"/>
    <w:rsid w:val="00AE406F"/>
    <w:rsid w:val="00AE423A"/>
    <w:rsid w:val="00AE42CA"/>
    <w:rsid w:val="00AE44C0"/>
    <w:rsid w:val="00AE4512"/>
    <w:rsid w:val="00AE45BC"/>
    <w:rsid w:val="00AE4ACC"/>
    <w:rsid w:val="00AE4ED7"/>
    <w:rsid w:val="00AE4F13"/>
    <w:rsid w:val="00AE4FFA"/>
    <w:rsid w:val="00AE500D"/>
    <w:rsid w:val="00AE50B0"/>
    <w:rsid w:val="00AE521C"/>
    <w:rsid w:val="00AE539F"/>
    <w:rsid w:val="00AE56FB"/>
    <w:rsid w:val="00AE5716"/>
    <w:rsid w:val="00AE5803"/>
    <w:rsid w:val="00AE58EA"/>
    <w:rsid w:val="00AE5948"/>
    <w:rsid w:val="00AE5C01"/>
    <w:rsid w:val="00AE5C05"/>
    <w:rsid w:val="00AE5D29"/>
    <w:rsid w:val="00AE5D85"/>
    <w:rsid w:val="00AE5EDA"/>
    <w:rsid w:val="00AE60CF"/>
    <w:rsid w:val="00AE618B"/>
    <w:rsid w:val="00AE61C1"/>
    <w:rsid w:val="00AE61C8"/>
    <w:rsid w:val="00AE6310"/>
    <w:rsid w:val="00AE6449"/>
    <w:rsid w:val="00AE64EB"/>
    <w:rsid w:val="00AE6585"/>
    <w:rsid w:val="00AE6618"/>
    <w:rsid w:val="00AE6884"/>
    <w:rsid w:val="00AE6951"/>
    <w:rsid w:val="00AE6AC2"/>
    <w:rsid w:val="00AE6DB9"/>
    <w:rsid w:val="00AE6E6F"/>
    <w:rsid w:val="00AE7186"/>
    <w:rsid w:val="00AE71A5"/>
    <w:rsid w:val="00AE72AC"/>
    <w:rsid w:val="00AE72BE"/>
    <w:rsid w:val="00AE739F"/>
    <w:rsid w:val="00AE7416"/>
    <w:rsid w:val="00AE744D"/>
    <w:rsid w:val="00AE749F"/>
    <w:rsid w:val="00AE76D6"/>
    <w:rsid w:val="00AE7750"/>
    <w:rsid w:val="00AE7ABB"/>
    <w:rsid w:val="00AE7B64"/>
    <w:rsid w:val="00AE7BC2"/>
    <w:rsid w:val="00AE7C7E"/>
    <w:rsid w:val="00AE7D16"/>
    <w:rsid w:val="00AE7FE2"/>
    <w:rsid w:val="00AF0004"/>
    <w:rsid w:val="00AF00EF"/>
    <w:rsid w:val="00AF01DC"/>
    <w:rsid w:val="00AF0261"/>
    <w:rsid w:val="00AF0516"/>
    <w:rsid w:val="00AF055E"/>
    <w:rsid w:val="00AF059E"/>
    <w:rsid w:val="00AF05C2"/>
    <w:rsid w:val="00AF06DF"/>
    <w:rsid w:val="00AF0814"/>
    <w:rsid w:val="00AF09A7"/>
    <w:rsid w:val="00AF0BCA"/>
    <w:rsid w:val="00AF0BD2"/>
    <w:rsid w:val="00AF0D11"/>
    <w:rsid w:val="00AF0D65"/>
    <w:rsid w:val="00AF0D79"/>
    <w:rsid w:val="00AF0DBB"/>
    <w:rsid w:val="00AF0E7F"/>
    <w:rsid w:val="00AF105C"/>
    <w:rsid w:val="00AF1141"/>
    <w:rsid w:val="00AF12B8"/>
    <w:rsid w:val="00AF1452"/>
    <w:rsid w:val="00AF15C5"/>
    <w:rsid w:val="00AF1762"/>
    <w:rsid w:val="00AF1915"/>
    <w:rsid w:val="00AF1B64"/>
    <w:rsid w:val="00AF1C2B"/>
    <w:rsid w:val="00AF1C35"/>
    <w:rsid w:val="00AF1E01"/>
    <w:rsid w:val="00AF1FF9"/>
    <w:rsid w:val="00AF208D"/>
    <w:rsid w:val="00AF21F9"/>
    <w:rsid w:val="00AF2339"/>
    <w:rsid w:val="00AF25A3"/>
    <w:rsid w:val="00AF274D"/>
    <w:rsid w:val="00AF278D"/>
    <w:rsid w:val="00AF282F"/>
    <w:rsid w:val="00AF28D5"/>
    <w:rsid w:val="00AF291F"/>
    <w:rsid w:val="00AF2BE5"/>
    <w:rsid w:val="00AF2D12"/>
    <w:rsid w:val="00AF2DD8"/>
    <w:rsid w:val="00AF2E56"/>
    <w:rsid w:val="00AF34AE"/>
    <w:rsid w:val="00AF3543"/>
    <w:rsid w:val="00AF3623"/>
    <w:rsid w:val="00AF3747"/>
    <w:rsid w:val="00AF37BC"/>
    <w:rsid w:val="00AF39F1"/>
    <w:rsid w:val="00AF3A9D"/>
    <w:rsid w:val="00AF3ACD"/>
    <w:rsid w:val="00AF3B5D"/>
    <w:rsid w:val="00AF3B92"/>
    <w:rsid w:val="00AF3C94"/>
    <w:rsid w:val="00AF3D85"/>
    <w:rsid w:val="00AF3E2C"/>
    <w:rsid w:val="00AF40C5"/>
    <w:rsid w:val="00AF436D"/>
    <w:rsid w:val="00AF4520"/>
    <w:rsid w:val="00AF46E5"/>
    <w:rsid w:val="00AF4A72"/>
    <w:rsid w:val="00AF4BE4"/>
    <w:rsid w:val="00AF4F1A"/>
    <w:rsid w:val="00AF4F38"/>
    <w:rsid w:val="00AF50C6"/>
    <w:rsid w:val="00AF52FB"/>
    <w:rsid w:val="00AF533B"/>
    <w:rsid w:val="00AF5532"/>
    <w:rsid w:val="00AF57B6"/>
    <w:rsid w:val="00AF57DD"/>
    <w:rsid w:val="00AF5819"/>
    <w:rsid w:val="00AF58A5"/>
    <w:rsid w:val="00AF58B0"/>
    <w:rsid w:val="00AF5BB8"/>
    <w:rsid w:val="00AF5C21"/>
    <w:rsid w:val="00AF5C53"/>
    <w:rsid w:val="00AF5CAA"/>
    <w:rsid w:val="00AF5CF1"/>
    <w:rsid w:val="00AF5DFE"/>
    <w:rsid w:val="00AF5ED0"/>
    <w:rsid w:val="00AF5F26"/>
    <w:rsid w:val="00AF5F66"/>
    <w:rsid w:val="00AF5FB1"/>
    <w:rsid w:val="00AF6001"/>
    <w:rsid w:val="00AF6047"/>
    <w:rsid w:val="00AF6258"/>
    <w:rsid w:val="00AF6275"/>
    <w:rsid w:val="00AF62E4"/>
    <w:rsid w:val="00AF63C4"/>
    <w:rsid w:val="00AF64C7"/>
    <w:rsid w:val="00AF66F1"/>
    <w:rsid w:val="00AF6728"/>
    <w:rsid w:val="00AF676C"/>
    <w:rsid w:val="00AF68A4"/>
    <w:rsid w:val="00AF68DE"/>
    <w:rsid w:val="00AF6A8F"/>
    <w:rsid w:val="00AF6AC1"/>
    <w:rsid w:val="00AF6B1A"/>
    <w:rsid w:val="00AF6B3B"/>
    <w:rsid w:val="00AF6BEE"/>
    <w:rsid w:val="00AF6DC5"/>
    <w:rsid w:val="00AF6E08"/>
    <w:rsid w:val="00AF6E93"/>
    <w:rsid w:val="00AF6F00"/>
    <w:rsid w:val="00AF709B"/>
    <w:rsid w:val="00AF713E"/>
    <w:rsid w:val="00AF72AA"/>
    <w:rsid w:val="00AF730F"/>
    <w:rsid w:val="00AF74F0"/>
    <w:rsid w:val="00AF76A9"/>
    <w:rsid w:val="00AF76B7"/>
    <w:rsid w:val="00AF7776"/>
    <w:rsid w:val="00AF7916"/>
    <w:rsid w:val="00AF7985"/>
    <w:rsid w:val="00AF7A8F"/>
    <w:rsid w:val="00AF7B43"/>
    <w:rsid w:val="00AF7C58"/>
    <w:rsid w:val="00AF7C69"/>
    <w:rsid w:val="00AF7D0D"/>
    <w:rsid w:val="00AF7E43"/>
    <w:rsid w:val="00AF7E91"/>
    <w:rsid w:val="00B004E7"/>
    <w:rsid w:val="00B0067A"/>
    <w:rsid w:val="00B007D5"/>
    <w:rsid w:val="00B00906"/>
    <w:rsid w:val="00B00963"/>
    <w:rsid w:val="00B009AF"/>
    <w:rsid w:val="00B009F3"/>
    <w:rsid w:val="00B00C2B"/>
    <w:rsid w:val="00B00CA2"/>
    <w:rsid w:val="00B00CF4"/>
    <w:rsid w:val="00B00D74"/>
    <w:rsid w:val="00B00E3D"/>
    <w:rsid w:val="00B00E41"/>
    <w:rsid w:val="00B0107D"/>
    <w:rsid w:val="00B01180"/>
    <w:rsid w:val="00B011B1"/>
    <w:rsid w:val="00B011CD"/>
    <w:rsid w:val="00B011DD"/>
    <w:rsid w:val="00B01434"/>
    <w:rsid w:val="00B0148A"/>
    <w:rsid w:val="00B0169B"/>
    <w:rsid w:val="00B01724"/>
    <w:rsid w:val="00B01805"/>
    <w:rsid w:val="00B01883"/>
    <w:rsid w:val="00B01969"/>
    <w:rsid w:val="00B019FF"/>
    <w:rsid w:val="00B01C68"/>
    <w:rsid w:val="00B01F11"/>
    <w:rsid w:val="00B02117"/>
    <w:rsid w:val="00B02139"/>
    <w:rsid w:val="00B021CC"/>
    <w:rsid w:val="00B02292"/>
    <w:rsid w:val="00B0247C"/>
    <w:rsid w:val="00B024D3"/>
    <w:rsid w:val="00B025A6"/>
    <w:rsid w:val="00B02825"/>
    <w:rsid w:val="00B02844"/>
    <w:rsid w:val="00B0288A"/>
    <w:rsid w:val="00B02B0A"/>
    <w:rsid w:val="00B02B35"/>
    <w:rsid w:val="00B02B75"/>
    <w:rsid w:val="00B02B8C"/>
    <w:rsid w:val="00B02B90"/>
    <w:rsid w:val="00B02DD3"/>
    <w:rsid w:val="00B02ED0"/>
    <w:rsid w:val="00B02F24"/>
    <w:rsid w:val="00B02F5D"/>
    <w:rsid w:val="00B02F80"/>
    <w:rsid w:val="00B03036"/>
    <w:rsid w:val="00B0337C"/>
    <w:rsid w:val="00B034E2"/>
    <w:rsid w:val="00B038C5"/>
    <w:rsid w:val="00B03A35"/>
    <w:rsid w:val="00B03A9F"/>
    <w:rsid w:val="00B03B75"/>
    <w:rsid w:val="00B03CDE"/>
    <w:rsid w:val="00B03CE2"/>
    <w:rsid w:val="00B03D29"/>
    <w:rsid w:val="00B03E95"/>
    <w:rsid w:val="00B03EE5"/>
    <w:rsid w:val="00B03F9E"/>
    <w:rsid w:val="00B0414A"/>
    <w:rsid w:val="00B04388"/>
    <w:rsid w:val="00B04663"/>
    <w:rsid w:val="00B04777"/>
    <w:rsid w:val="00B047F7"/>
    <w:rsid w:val="00B04841"/>
    <w:rsid w:val="00B04AB0"/>
    <w:rsid w:val="00B04D59"/>
    <w:rsid w:val="00B05058"/>
    <w:rsid w:val="00B050B6"/>
    <w:rsid w:val="00B050F8"/>
    <w:rsid w:val="00B0514C"/>
    <w:rsid w:val="00B05248"/>
    <w:rsid w:val="00B052EA"/>
    <w:rsid w:val="00B053A3"/>
    <w:rsid w:val="00B053F0"/>
    <w:rsid w:val="00B0564B"/>
    <w:rsid w:val="00B0592C"/>
    <w:rsid w:val="00B05958"/>
    <w:rsid w:val="00B05AEA"/>
    <w:rsid w:val="00B05BE8"/>
    <w:rsid w:val="00B05C63"/>
    <w:rsid w:val="00B05C97"/>
    <w:rsid w:val="00B05E0A"/>
    <w:rsid w:val="00B06095"/>
    <w:rsid w:val="00B060A0"/>
    <w:rsid w:val="00B060C7"/>
    <w:rsid w:val="00B064EE"/>
    <w:rsid w:val="00B065A7"/>
    <w:rsid w:val="00B06666"/>
    <w:rsid w:val="00B06905"/>
    <w:rsid w:val="00B0691F"/>
    <w:rsid w:val="00B06B17"/>
    <w:rsid w:val="00B06C61"/>
    <w:rsid w:val="00B06C77"/>
    <w:rsid w:val="00B06E67"/>
    <w:rsid w:val="00B06E97"/>
    <w:rsid w:val="00B06EB3"/>
    <w:rsid w:val="00B06F6B"/>
    <w:rsid w:val="00B07073"/>
    <w:rsid w:val="00B071BB"/>
    <w:rsid w:val="00B0724E"/>
    <w:rsid w:val="00B072BF"/>
    <w:rsid w:val="00B0736F"/>
    <w:rsid w:val="00B07488"/>
    <w:rsid w:val="00B074F4"/>
    <w:rsid w:val="00B07604"/>
    <w:rsid w:val="00B07737"/>
    <w:rsid w:val="00B07924"/>
    <w:rsid w:val="00B07B88"/>
    <w:rsid w:val="00B07DF7"/>
    <w:rsid w:val="00B07E8C"/>
    <w:rsid w:val="00B07EA3"/>
    <w:rsid w:val="00B10098"/>
    <w:rsid w:val="00B10104"/>
    <w:rsid w:val="00B10115"/>
    <w:rsid w:val="00B10166"/>
    <w:rsid w:val="00B1021C"/>
    <w:rsid w:val="00B10342"/>
    <w:rsid w:val="00B10363"/>
    <w:rsid w:val="00B10399"/>
    <w:rsid w:val="00B104D1"/>
    <w:rsid w:val="00B105BF"/>
    <w:rsid w:val="00B10B12"/>
    <w:rsid w:val="00B10B3B"/>
    <w:rsid w:val="00B10B3F"/>
    <w:rsid w:val="00B10C73"/>
    <w:rsid w:val="00B10C7F"/>
    <w:rsid w:val="00B110BF"/>
    <w:rsid w:val="00B1135A"/>
    <w:rsid w:val="00B11596"/>
    <w:rsid w:val="00B11604"/>
    <w:rsid w:val="00B11707"/>
    <w:rsid w:val="00B11A02"/>
    <w:rsid w:val="00B11A62"/>
    <w:rsid w:val="00B11A7A"/>
    <w:rsid w:val="00B11AC3"/>
    <w:rsid w:val="00B11C4A"/>
    <w:rsid w:val="00B11C9B"/>
    <w:rsid w:val="00B120DD"/>
    <w:rsid w:val="00B12103"/>
    <w:rsid w:val="00B12164"/>
    <w:rsid w:val="00B12249"/>
    <w:rsid w:val="00B12375"/>
    <w:rsid w:val="00B1237B"/>
    <w:rsid w:val="00B123C2"/>
    <w:rsid w:val="00B123F3"/>
    <w:rsid w:val="00B125F7"/>
    <w:rsid w:val="00B12736"/>
    <w:rsid w:val="00B127E7"/>
    <w:rsid w:val="00B12846"/>
    <w:rsid w:val="00B12899"/>
    <w:rsid w:val="00B12904"/>
    <w:rsid w:val="00B129CF"/>
    <w:rsid w:val="00B12A16"/>
    <w:rsid w:val="00B12ADA"/>
    <w:rsid w:val="00B12EE1"/>
    <w:rsid w:val="00B12F06"/>
    <w:rsid w:val="00B12FD5"/>
    <w:rsid w:val="00B13048"/>
    <w:rsid w:val="00B13587"/>
    <w:rsid w:val="00B13735"/>
    <w:rsid w:val="00B138D1"/>
    <w:rsid w:val="00B13982"/>
    <w:rsid w:val="00B13C98"/>
    <w:rsid w:val="00B13DE5"/>
    <w:rsid w:val="00B13DFF"/>
    <w:rsid w:val="00B13E8D"/>
    <w:rsid w:val="00B13ED1"/>
    <w:rsid w:val="00B142E3"/>
    <w:rsid w:val="00B142EC"/>
    <w:rsid w:val="00B14348"/>
    <w:rsid w:val="00B143F6"/>
    <w:rsid w:val="00B14510"/>
    <w:rsid w:val="00B14560"/>
    <w:rsid w:val="00B14628"/>
    <w:rsid w:val="00B14723"/>
    <w:rsid w:val="00B147C7"/>
    <w:rsid w:val="00B1486E"/>
    <w:rsid w:val="00B14939"/>
    <w:rsid w:val="00B14CE1"/>
    <w:rsid w:val="00B14E2C"/>
    <w:rsid w:val="00B14E61"/>
    <w:rsid w:val="00B14F09"/>
    <w:rsid w:val="00B1511B"/>
    <w:rsid w:val="00B15148"/>
    <w:rsid w:val="00B154C5"/>
    <w:rsid w:val="00B15519"/>
    <w:rsid w:val="00B1551B"/>
    <w:rsid w:val="00B157B1"/>
    <w:rsid w:val="00B1582E"/>
    <w:rsid w:val="00B15A42"/>
    <w:rsid w:val="00B15A7B"/>
    <w:rsid w:val="00B15B67"/>
    <w:rsid w:val="00B15BAB"/>
    <w:rsid w:val="00B15DED"/>
    <w:rsid w:val="00B15E0B"/>
    <w:rsid w:val="00B15FF4"/>
    <w:rsid w:val="00B16283"/>
    <w:rsid w:val="00B1644B"/>
    <w:rsid w:val="00B1661B"/>
    <w:rsid w:val="00B166F3"/>
    <w:rsid w:val="00B1670F"/>
    <w:rsid w:val="00B167C8"/>
    <w:rsid w:val="00B1699C"/>
    <w:rsid w:val="00B16A8B"/>
    <w:rsid w:val="00B16B4E"/>
    <w:rsid w:val="00B16B85"/>
    <w:rsid w:val="00B16E44"/>
    <w:rsid w:val="00B17264"/>
    <w:rsid w:val="00B173F9"/>
    <w:rsid w:val="00B175F2"/>
    <w:rsid w:val="00B1773E"/>
    <w:rsid w:val="00B17AA1"/>
    <w:rsid w:val="00B17AA6"/>
    <w:rsid w:val="00B17ABC"/>
    <w:rsid w:val="00B17C8F"/>
    <w:rsid w:val="00B17CD4"/>
    <w:rsid w:val="00B17CE4"/>
    <w:rsid w:val="00B17CFC"/>
    <w:rsid w:val="00B17D68"/>
    <w:rsid w:val="00B17E49"/>
    <w:rsid w:val="00B201A3"/>
    <w:rsid w:val="00B202FB"/>
    <w:rsid w:val="00B205AF"/>
    <w:rsid w:val="00B206F5"/>
    <w:rsid w:val="00B2072C"/>
    <w:rsid w:val="00B208D4"/>
    <w:rsid w:val="00B20A08"/>
    <w:rsid w:val="00B20D68"/>
    <w:rsid w:val="00B20FF6"/>
    <w:rsid w:val="00B210C9"/>
    <w:rsid w:val="00B210CF"/>
    <w:rsid w:val="00B210E3"/>
    <w:rsid w:val="00B2122E"/>
    <w:rsid w:val="00B21364"/>
    <w:rsid w:val="00B21559"/>
    <w:rsid w:val="00B2164E"/>
    <w:rsid w:val="00B21650"/>
    <w:rsid w:val="00B2169F"/>
    <w:rsid w:val="00B21819"/>
    <w:rsid w:val="00B218CA"/>
    <w:rsid w:val="00B21945"/>
    <w:rsid w:val="00B21998"/>
    <w:rsid w:val="00B21ABF"/>
    <w:rsid w:val="00B21CDC"/>
    <w:rsid w:val="00B21D0F"/>
    <w:rsid w:val="00B21D2E"/>
    <w:rsid w:val="00B21F3E"/>
    <w:rsid w:val="00B21FEC"/>
    <w:rsid w:val="00B22022"/>
    <w:rsid w:val="00B22049"/>
    <w:rsid w:val="00B22304"/>
    <w:rsid w:val="00B2241C"/>
    <w:rsid w:val="00B22800"/>
    <w:rsid w:val="00B22ACD"/>
    <w:rsid w:val="00B22B7B"/>
    <w:rsid w:val="00B22C49"/>
    <w:rsid w:val="00B22DFF"/>
    <w:rsid w:val="00B22E91"/>
    <w:rsid w:val="00B23050"/>
    <w:rsid w:val="00B2306B"/>
    <w:rsid w:val="00B23320"/>
    <w:rsid w:val="00B234C4"/>
    <w:rsid w:val="00B2351E"/>
    <w:rsid w:val="00B236A8"/>
    <w:rsid w:val="00B237A0"/>
    <w:rsid w:val="00B237EA"/>
    <w:rsid w:val="00B238C9"/>
    <w:rsid w:val="00B2395B"/>
    <w:rsid w:val="00B23B85"/>
    <w:rsid w:val="00B23CCE"/>
    <w:rsid w:val="00B23E8B"/>
    <w:rsid w:val="00B23EBC"/>
    <w:rsid w:val="00B23F43"/>
    <w:rsid w:val="00B24030"/>
    <w:rsid w:val="00B241BB"/>
    <w:rsid w:val="00B24212"/>
    <w:rsid w:val="00B242B2"/>
    <w:rsid w:val="00B2433F"/>
    <w:rsid w:val="00B245C9"/>
    <w:rsid w:val="00B24743"/>
    <w:rsid w:val="00B24AB2"/>
    <w:rsid w:val="00B24F68"/>
    <w:rsid w:val="00B24FE4"/>
    <w:rsid w:val="00B2509D"/>
    <w:rsid w:val="00B250B7"/>
    <w:rsid w:val="00B250BA"/>
    <w:rsid w:val="00B25207"/>
    <w:rsid w:val="00B252EB"/>
    <w:rsid w:val="00B2531F"/>
    <w:rsid w:val="00B25442"/>
    <w:rsid w:val="00B254DF"/>
    <w:rsid w:val="00B25778"/>
    <w:rsid w:val="00B2586E"/>
    <w:rsid w:val="00B259C3"/>
    <w:rsid w:val="00B259EF"/>
    <w:rsid w:val="00B25B43"/>
    <w:rsid w:val="00B25B47"/>
    <w:rsid w:val="00B25B65"/>
    <w:rsid w:val="00B25DE8"/>
    <w:rsid w:val="00B25E64"/>
    <w:rsid w:val="00B25EE2"/>
    <w:rsid w:val="00B26108"/>
    <w:rsid w:val="00B261F4"/>
    <w:rsid w:val="00B262CB"/>
    <w:rsid w:val="00B2634D"/>
    <w:rsid w:val="00B264AC"/>
    <w:rsid w:val="00B26773"/>
    <w:rsid w:val="00B26839"/>
    <w:rsid w:val="00B26AC5"/>
    <w:rsid w:val="00B26BD8"/>
    <w:rsid w:val="00B26C16"/>
    <w:rsid w:val="00B26C68"/>
    <w:rsid w:val="00B26F0D"/>
    <w:rsid w:val="00B26FB1"/>
    <w:rsid w:val="00B271D6"/>
    <w:rsid w:val="00B2723D"/>
    <w:rsid w:val="00B272E8"/>
    <w:rsid w:val="00B273FF"/>
    <w:rsid w:val="00B27448"/>
    <w:rsid w:val="00B2744F"/>
    <w:rsid w:val="00B275BA"/>
    <w:rsid w:val="00B276BC"/>
    <w:rsid w:val="00B277A8"/>
    <w:rsid w:val="00B27881"/>
    <w:rsid w:val="00B27B67"/>
    <w:rsid w:val="00B27C11"/>
    <w:rsid w:val="00B27D08"/>
    <w:rsid w:val="00B27E07"/>
    <w:rsid w:val="00B27E8C"/>
    <w:rsid w:val="00B3010A"/>
    <w:rsid w:val="00B30241"/>
    <w:rsid w:val="00B30349"/>
    <w:rsid w:val="00B303FF"/>
    <w:rsid w:val="00B30450"/>
    <w:rsid w:val="00B305DD"/>
    <w:rsid w:val="00B30A51"/>
    <w:rsid w:val="00B30A65"/>
    <w:rsid w:val="00B30C83"/>
    <w:rsid w:val="00B30D1B"/>
    <w:rsid w:val="00B30DB9"/>
    <w:rsid w:val="00B30EC4"/>
    <w:rsid w:val="00B3103C"/>
    <w:rsid w:val="00B310C1"/>
    <w:rsid w:val="00B31124"/>
    <w:rsid w:val="00B311A6"/>
    <w:rsid w:val="00B311F6"/>
    <w:rsid w:val="00B3120D"/>
    <w:rsid w:val="00B31259"/>
    <w:rsid w:val="00B3130B"/>
    <w:rsid w:val="00B31351"/>
    <w:rsid w:val="00B31411"/>
    <w:rsid w:val="00B31624"/>
    <w:rsid w:val="00B31710"/>
    <w:rsid w:val="00B3173D"/>
    <w:rsid w:val="00B317C4"/>
    <w:rsid w:val="00B319AD"/>
    <w:rsid w:val="00B31BAF"/>
    <w:rsid w:val="00B31CD5"/>
    <w:rsid w:val="00B31D75"/>
    <w:rsid w:val="00B31E1B"/>
    <w:rsid w:val="00B31E6B"/>
    <w:rsid w:val="00B3211F"/>
    <w:rsid w:val="00B32164"/>
    <w:rsid w:val="00B3233A"/>
    <w:rsid w:val="00B32483"/>
    <w:rsid w:val="00B324D4"/>
    <w:rsid w:val="00B3268B"/>
    <w:rsid w:val="00B326FD"/>
    <w:rsid w:val="00B3271B"/>
    <w:rsid w:val="00B32937"/>
    <w:rsid w:val="00B32C09"/>
    <w:rsid w:val="00B32C33"/>
    <w:rsid w:val="00B32E0F"/>
    <w:rsid w:val="00B32EBA"/>
    <w:rsid w:val="00B32EFF"/>
    <w:rsid w:val="00B32F6A"/>
    <w:rsid w:val="00B32F92"/>
    <w:rsid w:val="00B32F97"/>
    <w:rsid w:val="00B33279"/>
    <w:rsid w:val="00B33372"/>
    <w:rsid w:val="00B334E8"/>
    <w:rsid w:val="00B3367B"/>
    <w:rsid w:val="00B3383A"/>
    <w:rsid w:val="00B339BF"/>
    <w:rsid w:val="00B33A0B"/>
    <w:rsid w:val="00B33A18"/>
    <w:rsid w:val="00B33B71"/>
    <w:rsid w:val="00B33EE1"/>
    <w:rsid w:val="00B33F85"/>
    <w:rsid w:val="00B33FDE"/>
    <w:rsid w:val="00B33FF4"/>
    <w:rsid w:val="00B340B3"/>
    <w:rsid w:val="00B34143"/>
    <w:rsid w:val="00B34147"/>
    <w:rsid w:val="00B3421A"/>
    <w:rsid w:val="00B343C6"/>
    <w:rsid w:val="00B34572"/>
    <w:rsid w:val="00B345D3"/>
    <w:rsid w:val="00B34728"/>
    <w:rsid w:val="00B34737"/>
    <w:rsid w:val="00B3473F"/>
    <w:rsid w:val="00B34902"/>
    <w:rsid w:val="00B3490F"/>
    <w:rsid w:val="00B34941"/>
    <w:rsid w:val="00B34C29"/>
    <w:rsid w:val="00B34EB9"/>
    <w:rsid w:val="00B3511A"/>
    <w:rsid w:val="00B3519C"/>
    <w:rsid w:val="00B352C8"/>
    <w:rsid w:val="00B35404"/>
    <w:rsid w:val="00B355AC"/>
    <w:rsid w:val="00B3568C"/>
    <w:rsid w:val="00B3569D"/>
    <w:rsid w:val="00B356F2"/>
    <w:rsid w:val="00B358A3"/>
    <w:rsid w:val="00B35963"/>
    <w:rsid w:val="00B35AE6"/>
    <w:rsid w:val="00B35C00"/>
    <w:rsid w:val="00B35D29"/>
    <w:rsid w:val="00B35DE3"/>
    <w:rsid w:val="00B35EA3"/>
    <w:rsid w:val="00B35FBD"/>
    <w:rsid w:val="00B35FFA"/>
    <w:rsid w:val="00B36117"/>
    <w:rsid w:val="00B36391"/>
    <w:rsid w:val="00B364A1"/>
    <w:rsid w:val="00B36575"/>
    <w:rsid w:val="00B365C3"/>
    <w:rsid w:val="00B366CE"/>
    <w:rsid w:val="00B36770"/>
    <w:rsid w:val="00B36772"/>
    <w:rsid w:val="00B367B2"/>
    <w:rsid w:val="00B36828"/>
    <w:rsid w:val="00B368C3"/>
    <w:rsid w:val="00B368D0"/>
    <w:rsid w:val="00B3691D"/>
    <w:rsid w:val="00B369EB"/>
    <w:rsid w:val="00B36A3C"/>
    <w:rsid w:val="00B36A9F"/>
    <w:rsid w:val="00B36D34"/>
    <w:rsid w:val="00B36DC1"/>
    <w:rsid w:val="00B36DF5"/>
    <w:rsid w:val="00B36E1C"/>
    <w:rsid w:val="00B36ED6"/>
    <w:rsid w:val="00B3702A"/>
    <w:rsid w:val="00B37056"/>
    <w:rsid w:val="00B37216"/>
    <w:rsid w:val="00B37280"/>
    <w:rsid w:val="00B375DB"/>
    <w:rsid w:val="00B37783"/>
    <w:rsid w:val="00B377AE"/>
    <w:rsid w:val="00B3784E"/>
    <w:rsid w:val="00B37940"/>
    <w:rsid w:val="00B37B06"/>
    <w:rsid w:val="00B37BCC"/>
    <w:rsid w:val="00B37C1E"/>
    <w:rsid w:val="00B37EDC"/>
    <w:rsid w:val="00B4002C"/>
    <w:rsid w:val="00B40112"/>
    <w:rsid w:val="00B402F3"/>
    <w:rsid w:val="00B4032C"/>
    <w:rsid w:val="00B40474"/>
    <w:rsid w:val="00B40511"/>
    <w:rsid w:val="00B40919"/>
    <w:rsid w:val="00B409EE"/>
    <w:rsid w:val="00B40B4A"/>
    <w:rsid w:val="00B40B9A"/>
    <w:rsid w:val="00B40BA2"/>
    <w:rsid w:val="00B40C18"/>
    <w:rsid w:val="00B40DA1"/>
    <w:rsid w:val="00B40F89"/>
    <w:rsid w:val="00B40FF3"/>
    <w:rsid w:val="00B4104A"/>
    <w:rsid w:val="00B411E3"/>
    <w:rsid w:val="00B411F2"/>
    <w:rsid w:val="00B4133A"/>
    <w:rsid w:val="00B4142F"/>
    <w:rsid w:val="00B41601"/>
    <w:rsid w:val="00B4183E"/>
    <w:rsid w:val="00B41917"/>
    <w:rsid w:val="00B419B0"/>
    <w:rsid w:val="00B41A99"/>
    <w:rsid w:val="00B41C29"/>
    <w:rsid w:val="00B41DE3"/>
    <w:rsid w:val="00B41E59"/>
    <w:rsid w:val="00B41F7D"/>
    <w:rsid w:val="00B4210E"/>
    <w:rsid w:val="00B421E1"/>
    <w:rsid w:val="00B423BF"/>
    <w:rsid w:val="00B42500"/>
    <w:rsid w:val="00B42510"/>
    <w:rsid w:val="00B4251D"/>
    <w:rsid w:val="00B4259A"/>
    <w:rsid w:val="00B42792"/>
    <w:rsid w:val="00B428D2"/>
    <w:rsid w:val="00B429AC"/>
    <w:rsid w:val="00B429DA"/>
    <w:rsid w:val="00B42D7D"/>
    <w:rsid w:val="00B42DE3"/>
    <w:rsid w:val="00B42ED0"/>
    <w:rsid w:val="00B431F8"/>
    <w:rsid w:val="00B43287"/>
    <w:rsid w:val="00B43342"/>
    <w:rsid w:val="00B433B2"/>
    <w:rsid w:val="00B4340C"/>
    <w:rsid w:val="00B4342E"/>
    <w:rsid w:val="00B4346C"/>
    <w:rsid w:val="00B434BD"/>
    <w:rsid w:val="00B43501"/>
    <w:rsid w:val="00B43509"/>
    <w:rsid w:val="00B43714"/>
    <w:rsid w:val="00B4373B"/>
    <w:rsid w:val="00B437A4"/>
    <w:rsid w:val="00B43929"/>
    <w:rsid w:val="00B43BFC"/>
    <w:rsid w:val="00B43C19"/>
    <w:rsid w:val="00B43C20"/>
    <w:rsid w:val="00B43E87"/>
    <w:rsid w:val="00B43F7B"/>
    <w:rsid w:val="00B44102"/>
    <w:rsid w:val="00B44291"/>
    <w:rsid w:val="00B445B1"/>
    <w:rsid w:val="00B445D5"/>
    <w:rsid w:val="00B44730"/>
    <w:rsid w:val="00B448A0"/>
    <w:rsid w:val="00B448A7"/>
    <w:rsid w:val="00B44943"/>
    <w:rsid w:val="00B44976"/>
    <w:rsid w:val="00B44A12"/>
    <w:rsid w:val="00B44A17"/>
    <w:rsid w:val="00B44A99"/>
    <w:rsid w:val="00B44C35"/>
    <w:rsid w:val="00B44C41"/>
    <w:rsid w:val="00B44C6C"/>
    <w:rsid w:val="00B44E75"/>
    <w:rsid w:val="00B45105"/>
    <w:rsid w:val="00B4512B"/>
    <w:rsid w:val="00B4513F"/>
    <w:rsid w:val="00B4517B"/>
    <w:rsid w:val="00B4526C"/>
    <w:rsid w:val="00B452DA"/>
    <w:rsid w:val="00B45389"/>
    <w:rsid w:val="00B454E5"/>
    <w:rsid w:val="00B45527"/>
    <w:rsid w:val="00B456A9"/>
    <w:rsid w:val="00B45769"/>
    <w:rsid w:val="00B45793"/>
    <w:rsid w:val="00B457D7"/>
    <w:rsid w:val="00B45896"/>
    <w:rsid w:val="00B458D9"/>
    <w:rsid w:val="00B45B3D"/>
    <w:rsid w:val="00B45D29"/>
    <w:rsid w:val="00B45F98"/>
    <w:rsid w:val="00B46179"/>
    <w:rsid w:val="00B461A5"/>
    <w:rsid w:val="00B4623A"/>
    <w:rsid w:val="00B46280"/>
    <w:rsid w:val="00B462F9"/>
    <w:rsid w:val="00B463E1"/>
    <w:rsid w:val="00B463EA"/>
    <w:rsid w:val="00B46422"/>
    <w:rsid w:val="00B464EE"/>
    <w:rsid w:val="00B465C8"/>
    <w:rsid w:val="00B466C5"/>
    <w:rsid w:val="00B4690A"/>
    <w:rsid w:val="00B46995"/>
    <w:rsid w:val="00B469BF"/>
    <w:rsid w:val="00B46A3D"/>
    <w:rsid w:val="00B46B76"/>
    <w:rsid w:val="00B46CC8"/>
    <w:rsid w:val="00B46E94"/>
    <w:rsid w:val="00B46EAC"/>
    <w:rsid w:val="00B46F51"/>
    <w:rsid w:val="00B470AD"/>
    <w:rsid w:val="00B473A2"/>
    <w:rsid w:val="00B47447"/>
    <w:rsid w:val="00B47705"/>
    <w:rsid w:val="00B478A2"/>
    <w:rsid w:val="00B47949"/>
    <w:rsid w:val="00B47985"/>
    <w:rsid w:val="00B47A9D"/>
    <w:rsid w:val="00B47B21"/>
    <w:rsid w:val="00B47BED"/>
    <w:rsid w:val="00B47C0A"/>
    <w:rsid w:val="00B47D08"/>
    <w:rsid w:val="00B47DF8"/>
    <w:rsid w:val="00B5000E"/>
    <w:rsid w:val="00B50285"/>
    <w:rsid w:val="00B502A8"/>
    <w:rsid w:val="00B50483"/>
    <w:rsid w:val="00B5086A"/>
    <w:rsid w:val="00B50B5E"/>
    <w:rsid w:val="00B50C6B"/>
    <w:rsid w:val="00B50C7E"/>
    <w:rsid w:val="00B50F6B"/>
    <w:rsid w:val="00B51044"/>
    <w:rsid w:val="00B5110F"/>
    <w:rsid w:val="00B511A6"/>
    <w:rsid w:val="00B5132E"/>
    <w:rsid w:val="00B51337"/>
    <w:rsid w:val="00B51457"/>
    <w:rsid w:val="00B51561"/>
    <w:rsid w:val="00B515D5"/>
    <w:rsid w:val="00B51670"/>
    <w:rsid w:val="00B517FA"/>
    <w:rsid w:val="00B518FF"/>
    <w:rsid w:val="00B51A75"/>
    <w:rsid w:val="00B51C6B"/>
    <w:rsid w:val="00B51DB2"/>
    <w:rsid w:val="00B51F0C"/>
    <w:rsid w:val="00B51F8C"/>
    <w:rsid w:val="00B52065"/>
    <w:rsid w:val="00B520B8"/>
    <w:rsid w:val="00B52136"/>
    <w:rsid w:val="00B521D8"/>
    <w:rsid w:val="00B524F5"/>
    <w:rsid w:val="00B5282D"/>
    <w:rsid w:val="00B5282F"/>
    <w:rsid w:val="00B528F3"/>
    <w:rsid w:val="00B52942"/>
    <w:rsid w:val="00B52949"/>
    <w:rsid w:val="00B52A54"/>
    <w:rsid w:val="00B52B24"/>
    <w:rsid w:val="00B52E84"/>
    <w:rsid w:val="00B52EF1"/>
    <w:rsid w:val="00B52F94"/>
    <w:rsid w:val="00B530AC"/>
    <w:rsid w:val="00B530FC"/>
    <w:rsid w:val="00B53458"/>
    <w:rsid w:val="00B5350F"/>
    <w:rsid w:val="00B53539"/>
    <w:rsid w:val="00B5365A"/>
    <w:rsid w:val="00B537C0"/>
    <w:rsid w:val="00B53925"/>
    <w:rsid w:val="00B5396B"/>
    <w:rsid w:val="00B539EE"/>
    <w:rsid w:val="00B53A30"/>
    <w:rsid w:val="00B53BBF"/>
    <w:rsid w:val="00B53D71"/>
    <w:rsid w:val="00B53E96"/>
    <w:rsid w:val="00B53F1E"/>
    <w:rsid w:val="00B54028"/>
    <w:rsid w:val="00B540E7"/>
    <w:rsid w:val="00B5411A"/>
    <w:rsid w:val="00B5434F"/>
    <w:rsid w:val="00B5458C"/>
    <w:rsid w:val="00B545B8"/>
    <w:rsid w:val="00B54694"/>
    <w:rsid w:val="00B54776"/>
    <w:rsid w:val="00B547FF"/>
    <w:rsid w:val="00B549BD"/>
    <w:rsid w:val="00B54BB9"/>
    <w:rsid w:val="00B54D2B"/>
    <w:rsid w:val="00B54D5A"/>
    <w:rsid w:val="00B54D9C"/>
    <w:rsid w:val="00B54DD0"/>
    <w:rsid w:val="00B54F85"/>
    <w:rsid w:val="00B54FEC"/>
    <w:rsid w:val="00B550B0"/>
    <w:rsid w:val="00B550EF"/>
    <w:rsid w:val="00B553D6"/>
    <w:rsid w:val="00B559C6"/>
    <w:rsid w:val="00B55A73"/>
    <w:rsid w:val="00B55B04"/>
    <w:rsid w:val="00B55B47"/>
    <w:rsid w:val="00B55B58"/>
    <w:rsid w:val="00B55DBC"/>
    <w:rsid w:val="00B5616B"/>
    <w:rsid w:val="00B56289"/>
    <w:rsid w:val="00B562F0"/>
    <w:rsid w:val="00B56415"/>
    <w:rsid w:val="00B5655F"/>
    <w:rsid w:val="00B56573"/>
    <w:rsid w:val="00B565D9"/>
    <w:rsid w:val="00B5668D"/>
    <w:rsid w:val="00B56772"/>
    <w:rsid w:val="00B567CC"/>
    <w:rsid w:val="00B567F7"/>
    <w:rsid w:val="00B56AD7"/>
    <w:rsid w:val="00B56B15"/>
    <w:rsid w:val="00B56C83"/>
    <w:rsid w:val="00B571BC"/>
    <w:rsid w:val="00B5746B"/>
    <w:rsid w:val="00B57482"/>
    <w:rsid w:val="00B5753D"/>
    <w:rsid w:val="00B5793D"/>
    <w:rsid w:val="00B57B39"/>
    <w:rsid w:val="00B57B7A"/>
    <w:rsid w:val="00B57CAA"/>
    <w:rsid w:val="00B57F8C"/>
    <w:rsid w:val="00B57FAD"/>
    <w:rsid w:val="00B6002A"/>
    <w:rsid w:val="00B600AF"/>
    <w:rsid w:val="00B60110"/>
    <w:rsid w:val="00B60217"/>
    <w:rsid w:val="00B60229"/>
    <w:rsid w:val="00B6032B"/>
    <w:rsid w:val="00B60443"/>
    <w:rsid w:val="00B6049A"/>
    <w:rsid w:val="00B604F8"/>
    <w:rsid w:val="00B605F1"/>
    <w:rsid w:val="00B606D9"/>
    <w:rsid w:val="00B60AA6"/>
    <w:rsid w:val="00B60AB5"/>
    <w:rsid w:val="00B60B10"/>
    <w:rsid w:val="00B60B5A"/>
    <w:rsid w:val="00B60C8E"/>
    <w:rsid w:val="00B60D63"/>
    <w:rsid w:val="00B60D77"/>
    <w:rsid w:val="00B60E04"/>
    <w:rsid w:val="00B60E10"/>
    <w:rsid w:val="00B60E4A"/>
    <w:rsid w:val="00B60EA2"/>
    <w:rsid w:val="00B60F13"/>
    <w:rsid w:val="00B61064"/>
    <w:rsid w:val="00B610A1"/>
    <w:rsid w:val="00B61173"/>
    <w:rsid w:val="00B6146E"/>
    <w:rsid w:val="00B614E6"/>
    <w:rsid w:val="00B6168B"/>
    <w:rsid w:val="00B61876"/>
    <w:rsid w:val="00B61903"/>
    <w:rsid w:val="00B61AC2"/>
    <w:rsid w:val="00B61C74"/>
    <w:rsid w:val="00B61D5E"/>
    <w:rsid w:val="00B621E6"/>
    <w:rsid w:val="00B6225E"/>
    <w:rsid w:val="00B6237D"/>
    <w:rsid w:val="00B623E0"/>
    <w:rsid w:val="00B625C0"/>
    <w:rsid w:val="00B6269C"/>
    <w:rsid w:val="00B62AAE"/>
    <w:rsid w:val="00B62B09"/>
    <w:rsid w:val="00B62B18"/>
    <w:rsid w:val="00B62D09"/>
    <w:rsid w:val="00B62D32"/>
    <w:rsid w:val="00B62D94"/>
    <w:rsid w:val="00B62DBC"/>
    <w:rsid w:val="00B62E4A"/>
    <w:rsid w:val="00B62F08"/>
    <w:rsid w:val="00B6349B"/>
    <w:rsid w:val="00B6368F"/>
    <w:rsid w:val="00B63755"/>
    <w:rsid w:val="00B639D9"/>
    <w:rsid w:val="00B63B09"/>
    <w:rsid w:val="00B63B58"/>
    <w:rsid w:val="00B63B73"/>
    <w:rsid w:val="00B63B8D"/>
    <w:rsid w:val="00B63BFC"/>
    <w:rsid w:val="00B63DD5"/>
    <w:rsid w:val="00B63DF0"/>
    <w:rsid w:val="00B63E09"/>
    <w:rsid w:val="00B63EF4"/>
    <w:rsid w:val="00B6411F"/>
    <w:rsid w:val="00B64255"/>
    <w:rsid w:val="00B642C6"/>
    <w:rsid w:val="00B64595"/>
    <w:rsid w:val="00B645A4"/>
    <w:rsid w:val="00B645B4"/>
    <w:rsid w:val="00B646B2"/>
    <w:rsid w:val="00B64702"/>
    <w:rsid w:val="00B64857"/>
    <w:rsid w:val="00B648C5"/>
    <w:rsid w:val="00B648DD"/>
    <w:rsid w:val="00B64A6D"/>
    <w:rsid w:val="00B64A70"/>
    <w:rsid w:val="00B64B94"/>
    <w:rsid w:val="00B64D79"/>
    <w:rsid w:val="00B64E8B"/>
    <w:rsid w:val="00B64FDE"/>
    <w:rsid w:val="00B650A0"/>
    <w:rsid w:val="00B6518B"/>
    <w:rsid w:val="00B65272"/>
    <w:rsid w:val="00B654BE"/>
    <w:rsid w:val="00B65B6F"/>
    <w:rsid w:val="00B65BDD"/>
    <w:rsid w:val="00B65CF3"/>
    <w:rsid w:val="00B65E3D"/>
    <w:rsid w:val="00B65EA1"/>
    <w:rsid w:val="00B66140"/>
    <w:rsid w:val="00B66167"/>
    <w:rsid w:val="00B6617A"/>
    <w:rsid w:val="00B661B1"/>
    <w:rsid w:val="00B662CD"/>
    <w:rsid w:val="00B6633E"/>
    <w:rsid w:val="00B66373"/>
    <w:rsid w:val="00B665F3"/>
    <w:rsid w:val="00B66622"/>
    <w:rsid w:val="00B6668F"/>
    <w:rsid w:val="00B6669C"/>
    <w:rsid w:val="00B6672C"/>
    <w:rsid w:val="00B669B5"/>
    <w:rsid w:val="00B669BC"/>
    <w:rsid w:val="00B66A51"/>
    <w:rsid w:val="00B66AF0"/>
    <w:rsid w:val="00B66B54"/>
    <w:rsid w:val="00B66E54"/>
    <w:rsid w:val="00B66FDC"/>
    <w:rsid w:val="00B6700F"/>
    <w:rsid w:val="00B6708D"/>
    <w:rsid w:val="00B67112"/>
    <w:rsid w:val="00B67247"/>
    <w:rsid w:val="00B6725B"/>
    <w:rsid w:val="00B672B1"/>
    <w:rsid w:val="00B67353"/>
    <w:rsid w:val="00B67555"/>
    <w:rsid w:val="00B67590"/>
    <w:rsid w:val="00B67C0F"/>
    <w:rsid w:val="00B67E47"/>
    <w:rsid w:val="00B67EB2"/>
    <w:rsid w:val="00B70191"/>
    <w:rsid w:val="00B701B6"/>
    <w:rsid w:val="00B70407"/>
    <w:rsid w:val="00B70416"/>
    <w:rsid w:val="00B705D2"/>
    <w:rsid w:val="00B70719"/>
    <w:rsid w:val="00B7086B"/>
    <w:rsid w:val="00B708C9"/>
    <w:rsid w:val="00B709E0"/>
    <w:rsid w:val="00B70A24"/>
    <w:rsid w:val="00B70AF0"/>
    <w:rsid w:val="00B70C38"/>
    <w:rsid w:val="00B70C49"/>
    <w:rsid w:val="00B70CAF"/>
    <w:rsid w:val="00B70D27"/>
    <w:rsid w:val="00B7102B"/>
    <w:rsid w:val="00B711F1"/>
    <w:rsid w:val="00B7134E"/>
    <w:rsid w:val="00B71396"/>
    <w:rsid w:val="00B714B7"/>
    <w:rsid w:val="00B7151D"/>
    <w:rsid w:val="00B715E4"/>
    <w:rsid w:val="00B71646"/>
    <w:rsid w:val="00B7181F"/>
    <w:rsid w:val="00B71A46"/>
    <w:rsid w:val="00B71B3E"/>
    <w:rsid w:val="00B7208D"/>
    <w:rsid w:val="00B72166"/>
    <w:rsid w:val="00B72272"/>
    <w:rsid w:val="00B7233F"/>
    <w:rsid w:val="00B72375"/>
    <w:rsid w:val="00B724B4"/>
    <w:rsid w:val="00B7251C"/>
    <w:rsid w:val="00B728A3"/>
    <w:rsid w:val="00B72A9E"/>
    <w:rsid w:val="00B72DCE"/>
    <w:rsid w:val="00B72F98"/>
    <w:rsid w:val="00B72FCE"/>
    <w:rsid w:val="00B72FF2"/>
    <w:rsid w:val="00B733BD"/>
    <w:rsid w:val="00B733BF"/>
    <w:rsid w:val="00B736A6"/>
    <w:rsid w:val="00B73837"/>
    <w:rsid w:val="00B73868"/>
    <w:rsid w:val="00B7399A"/>
    <w:rsid w:val="00B73E17"/>
    <w:rsid w:val="00B73FC0"/>
    <w:rsid w:val="00B7408E"/>
    <w:rsid w:val="00B741F0"/>
    <w:rsid w:val="00B7424D"/>
    <w:rsid w:val="00B742B8"/>
    <w:rsid w:val="00B74366"/>
    <w:rsid w:val="00B743B7"/>
    <w:rsid w:val="00B7446B"/>
    <w:rsid w:val="00B74487"/>
    <w:rsid w:val="00B744FF"/>
    <w:rsid w:val="00B74963"/>
    <w:rsid w:val="00B74A42"/>
    <w:rsid w:val="00B74C4C"/>
    <w:rsid w:val="00B7502D"/>
    <w:rsid w:val="00B7513A"/>
    <w:rsid w:val="00B75216"/>
    <w:rsid w:val="00B75235"/>
    <w:rsid w:val="00B752E9"/>
    <w:rsid w:val="00B75307"/>
    <w:rsid w:val="00B7539E"/>
    <w:rsid w:val="00B75548"/>
    <w:rsid w:val="00B75600"/>
    <w:rsid w:val="00B75675"/>
    <w:rsid w:val="00B75721"/>
    <w:rsid w:val="00B75C6F"/>
    <w:rsid w:val="00B75E03"/>
    <w:rsid w:val="00B760EF"/>
    <w:rsid w:val="00B7619B"/>
    <w:rsid w:val="00B761E5"/>
    <w:rsid w:val="00B763AD"/>
    <w:rsid w:val="00B7679A"/>
    <w:rsid w:val="00B767EC"/>
    <w:rsid w:val="00B7681E"/>
    <w:rsid w:val="00B76CD6"/>
    <w:rsid w:val="00B76E94"/>
    <w:rsid w:val="00B76EE5"/>
    <w:rsid w:val="00B77046"/>
    <w:rsid w:val="00B770AF"/>
    <w:rsid w:val="00B770BF"/>
    <w:rsid w:val="00B7718A"/>
    <w:rsid w:val="00B77224"/>
    <w:rsid w:val="00B77257"/>
    <w:rsid w:val="00B77317"/>
    <w:rsid w:val="00B7731F"/>
    <w:rsid w:val="00B7733F"/>
    <w:rsid w:val="00B77435"/>
    <w:rsid w:val="00B775B2"/>
    <w:rsid w:val="00B77628"/>
    <w:rsid w:val="00B778D0"/>
    <w:rsid w:val="00B77947"/>
    <w:rsid w:val="00B77AF1"/>
    <w:rsid w:val="00B77D62"/>
    <w:rsid w:val="00B77F38"/>
    <w:rsid w:val="00B80061"/>
    <w:rsid w:val="00B80136"/>
    <w:rsid w:val="00B8023D"/>
    <w:rsid w:val="00B80490"/>
    <w:rsid w:val="00B8066B"/>
    <w:rsid w:val="00B80753"/>
    <w:rsid w:val="00B8099A"/>
    <w:rsid w:val="00B80BB5"/>
    <w:rsid w:val="00B80C9A"/>
    <w:rsid w:val="00B80D70"/>
    <w:rsid w:val="00B80DA0"/>
    <w:rsid w:val="00B80EEF"/>
    <w:rsid w:val="00B80F44"/>
    <w:rsid w:val="00B8101D"/>
    <w:rsid w:val="00B8117A"/>
    <w:rsid w:val="00B811A8"/>
    <w:rsid w:val="00B81328"/>
    <w:rsid w:val="00B81401"/>
    <w:rsid w:val="00B81405"/>
    <w:rsid w:val="00B81537"/>
    <w:rsid w:val="00B81541"/>
    <w:rsid w:val="00B81581"/>
    <w:rsid w:val="00B815C5"/>
    <w:rsid w:val="00B81AB5"/>
    <w:rsid w:val="00B81BF4"/>
    <w:rsid w:val="00B81CBF"/>
    <w:rsid w:val="00B81D90"/>
    <w:rsid w:val="00B81EBF"/>
    <w:rsid w:val="00B821DC"/>
    <w:rsid w:val="00B82834"/>
    <w:rsid w:val="00B82868"/>
    <w:rsid w:val="00B82966"/>
    <w:rsid w:val="00B829D9"/>
    <w:rsid w:val="00B82AC6"/>
    <w:rsid w:val="00B82CC6"/>
    <w:rsid w:val="00B82EBA"/>
    <w:rsid w:val="00B82F0D"/>
    <w:rsid w:val="00B82FCC"/>
    <w:rsid w:val="00B82FF9"/>
    <w:rsid w:val="00B831FC"/>
    <w:rsid w:val="00B833B5"/>
    <w:rsid w:val="00B8378F"/>
    <w:rsid w:val="00B83794"/>
    <w:rsid w:val="00B83883"/>
    <w:rsid w:val="00B83B3D"/>
    <w:rsid w:val="00B83E36"/>
    <w:rsid w:val="00B83E6E"/>
    <w:rsid w:val="00B83E7F"/>
    <w:rsid w:val="00B84008"/>
    <w:rsid w:val="00B84062"/>
    <w:rsid w:val="00B84141"/>
    <w:rsid w:val="00B84175"/>
    <w:rsid w:val="00B841A4"/>
    <w:rsid w:val="00B842E8"/>
    <w:rsid w:val="00B84319"/>
    <w:rsid w:val="00B84321"/>
    <w:rsid w:val="00B8435D"/>
    <w:rsid w:val="00B8451E"/>
    <w:rsid w:val="00B84576"/>
    <w:rsid w:val="00B84728"/>
    <w:rsid w:val="00B849F3"/>
    <w:rsid w:val="00B84BFF"/>
    <w:rsid w:val="00B84D0B"/>
    <w:rsid w:val="00B84E02"/>
    <w:rsid w:val="00B85177"/>
    <w:rsid w:val="00B8528F"/>
    <w:rsid w:val="00B855D0"/>
    <w:rsid w:val="00B856F8"/>
    <w:rsid w:val="00B85889"/>
    <w:rsid w:val="00B85C2E"/>
    <w:rsid w:val="00B85DAD"/>
    <w:rsid w:val="00B85E53"/>
    <w:rsid w:val="00B85F43"/>
    <w:rsid w:val="00B860BD"/>
    <w:rsid w:val="00B861C3"/>
    <w:rsid w:val="00B86300"/>
    <w:rsid w:val="00B86356"/>
    <w:rsid w:val="00B8642E"/>
    <w:rsid w:val="00B86462"/>
    <w:rsid w:val="00B866C8"/>
    <w:rsid w:val="00B866F7"/>
    <w:rsid w:val="00B867AA"/>
    <w:rsid w:val="00B8682A"/>
    <w:rsid w:val="00B86872"/>
    <w:rsid w:val="00B86910"/>
    <w:rsid w:val="00B86B25"/>
    <w:rsid w:val="00B86C59"/>
    <w:rsid w:val="00B86E42"/>
    <w:rsid w:val="00B86F3A"/>
    <w:rsid w:val="00B86F4B"/>
    <w:rsid w:val="00B86F69"/>
    <w:rsid w:val="00B86FF9"/>
    <w:rsid w:val="00B87008"/>
    <w:rsid w:val="00B87098"/>
    <w:rsid w:val="00B87176"/>
    <w:rsid w:val="00B8718E"/>
    <w:rsid w:val="00B87304"/>
    <w:rsid w:val="00B873FB"/>
    <w:rsid w:val="00B87513"/>
    <w:rsid w:val="00B8756D"/>
    <w:rsid w:val="00B8777D"/>
    <w:rsid w:val="00B8794D"/>
    <w:rsid w:val="00B8794E"/>
    <w:rsid w:val="00B87AF8"/>
    <w:rsid w:val="00B87B31"/>
    <w:rsid w:val="00B87B84"/>
    <w:rsid w:val="00B87C31"/>
    <w:rsid w:val="00B87D25"/>
    <w:rsid w:val="00B87E1A"/>
    <w:rsid w:val="00B87F29"/>
    <w:rsid w:val="00B87F37"/>
    <w:rsid w:val="00B90066"/>
    <w:rsid w:val="00B900D9"/>
    <w:rsid w:val="00B9011A"/>
    <w:rsid w:val="00B9014C"/>
    <w:rsid w:val="00B901D8"/>
    <w:rsid w:val="00B90276"/>
    <w:rsid w:val="00B90559"/>
    <w:rsid w:val="00B90596"/>
    <w:rsid w:val="00B905D8"/>
    <w:rsid w:val="00B905E2"/>
    <w:rsid w:val="00B9078F"/>
    <w:rsid w:val="00B907A5"/>
    <w:rsid w:val="00B907C2"/>
    <w:rsid w:val="00B9080A"/>
    <w:rsid w:val="00B90842"/>
    <w:rsid w:val="00B90D06"/>
    <w:rsid w:val="00B90E7C"/>
    <w:rsid w:val="00B9102D"/>
    <w:rsid w:val="00B91050"/>
    <w:rsid w:val="00B91104"/>
    <w:rsid w:val="00B91114"/>
    <w:rsid w:val="00B911F1"/>
    <w:rsid w:val="00B9125A"/>
    <w:rsid w:val="00B91332"/>
    <w:rsid w:val="00B916F7"/>
    <w:rsid w:val="00B917CB"/>
    <w:rsid w:val="00B917D4"/>
    <w:rsid w:val="00B91A59"/>
    <w:rsid w:val="00B91CA4"/>
    <w:rsid w:val="00B91D56"/>
    <w:rsid w:val="00B91E5F"/>
    <w:rsid w:val="00B91EFE"/>
    <w:rsid w:val="00B920C4"/>
    <w:rsid w:val="00B92181"/>
    <w:rsid w:val="00B92314"/>
    <w:rsid w:val="00B92410"/>
    <w:rsid w:val="00B9262C"/>
    <w:rsid w:val="00B9281C"/>
    <w:rsid w:val="00B9294E"/>
    <w:rsid w:val="00B9298A"/>
    <w:rsid w:val="00B92B5B"/>
    <w:rsid w:val="00B92B8F"/>
    <w:rsid w:val="00B92C01"/>
    <w:rsid w:val="00B92C06"/>
    <w:rsid w:val="00B92C4C"/>
    <w:rsid w:val="00B92F30"/>
    <w:rsid w:val="00B93016"/>
    <w:rsid w:val="00B930C2"/>
    <w:rsid w:val="00B9345E"/>
    <w:rsid w:val="00B93485"/>
    <w:rsid w:val="00B93622"/>
    <w:rsid w:val="00B93808"/>
    <w:rsid w:val="00B9382B"/>
    <w:rsid w:val="00B93BB9"/>
    <w:rsid w:val="00B93D01"/>
    <w:rsid w:val="00B93D7A"/>
    <w:rsid w:val="00B93D90"/>
    <w:rsid w:val="00B93DBD"/>
    <w:rsid w:val="00B93F9E"/>
    <w:rsid w:val="00B9402E"/>
    <w:rsid w:val="00B94225"/>
    <w:rsid w:val="00B942D4"/>
    <w:rsid w:val="00B94366"/>
    <w:rsid w:val="00B9453D"/>
    <w:rsid w:val="00B94558"/>
    <w:rsid w:val="00B94696"/>
    <w:rsid w:val="00B94CDE"/>
    <w:rsid w:val="00B94DC6"/>
    <w:rsid w:val="00B95006"/>
    <w:rsid w:val="00B9526E"/>
    <w:rsid w:val="00B9547F"/>
    <w:rsid w:val="00B95657"/>
    <w:rsid w:val="00B95A63"/>
    <w:rsid w:val="00B95A89"/>
    <w:rsid w:val="00B95AA3"/>
    <w:rsid w:val="00B95BAB"/>
    <w:rsid w:val="00B95C0D"/>
    <w:rsid w:val="00B95C80"/>
    <w:rsid w:val="00B95CC1"/>
    <w:rsid w:val="00B95E78"/>
    <w:rsid w:val="00B95FCF"/>
    <w:rsid w:val="00B96043"/>
    <w:rsid w:val="00B96144"/>
    <w:rsid w:val="00B964D1"/>
    <w:rsid w:val="00B96532"/>
    <w:rsid w:val="00B965A0"/>
    <w:rsid w:val="00B96663"/>
    <w:rsid w:val="00B96801"/>
    <w:rsid w:val="00B968B3"/>
    <w:rsid w:val="00B96979"/>
    <w:rsid w:val="00B96A1F"/>
    <w:rsid w:val="00B96C06"/>
    <w:rsid w:val="00B96CDE"/>
    <w:rsid w:val="00B96CF6"/>
    <w:rsid w:val="00B96FC1"/>
    <w:rsid w:val="00B96FDB"/>
    <w:rsid w:val="00B97004"/>
    <w:rsid w:val="00B97056"/>
    <w:rsid w:val="00B97073"/>
    <w:rsid w:val="00B97207"/>
    <w:rsid w:val="00B97321"/>
    <w:rsid w:val="00B97365"/>
    <w:rsid w:val="00B97394"/>
    <w:rsid w:val="00B9741E"/>
    <w:rsid w:val="00B97436"/>
    <w:rsid w:val="00B9746D"/>
    <w:rsid w:val="00B97580"/>
    <w:rsid w:val="00B9759E"/>
    <w:rsid w:val="00B97978"/>
    <w:rsid w:val="00B97A8C"/>
    <w:rsid w:val="00B97BAF"/>
    <w:rsid w:val="00B97CEE"/>
    <w:rsid w:val="00B97EAF"/>
    <w:rsid w:val="00B97ECC"/>
    <w:rsid w:val="00BA02C8"/>
    <w:rsid w:val="00BA0353"/>
    <w:rsid w:val="00BA0414"/>
    <w:rsid w:val="00BA049A"/>
    <w:rsid w:val="00BA04A2"/>
    <w:rsid w:val="00BA05C5"/>
    <w:rsid w:val="00BA0616"/>
    <w:rsid w:val="00BA06F8"/>
    <w:rsid w:val="00BA0910"/>
    <w:rsid w:val="00BA0950"/>
    <w:rsid w:val="00BA09C9"/>
    <w:rsid w:val="00BA0B8E"/>
    <w:rsid w:val="00BA0CBB"/>
    <w:rsid w:val="00BA0D01"/>
    <w:rsid w:val="00BA0E9C"/>
    <w:rsid w:val="00BA0EB5"/>
    <w:rsid w:val="00BA0F14"/>
    <w:rsid w:val="00BA0F20"/>
    <w:rsid w:val="00BA1091"/>
    <w:rsid w:val="00BA12FA"/>
    <w:rsid w:val="00BA17F4"/>
    <w:rsid w:val="00BA20DD"/>
    <w:rsid w:val="00BA2268"/>
    <w:rsid w:val="00BA2348"/>
    <w:rsid w:val="00BA2684"/>
    <w:rsid w:val="00BA275E"/>
    <w:rsid w:val="00BA2803"/>
    <w:rsid w:val="00BA2960"/>
    <w:rsid w:val="00BA2989"/>
    <w:rsid w:val="00BA2B4B"/>
    <w:rsid w:val="00BA2C52"/>
    <w:rsid w:val="00BA2F24"/>
    <w:rsid w:val="00BA2F2B"/>
    <w:rsid w:val="00BA2F64"/>
    <w:rsid w:val="00BA3009"/>
    <w:rsid w:val="00BA30DE"/>
    <w:rsid w:val="00BA317E"/>
    <w:rsid w:val="00BA3183"/>
    <w:rsid w:val="00BA34D5"/>
    <w:rsid w:val="00BA36F3"/>
    <w:rsid w:val="00BA38DF"/>
    <w:rsid w:val="00BA3B5C"/>
    <w:rsid w:val="00BA3DB9"/>
    <w:rsid w:val="00BA3E89"/>
    <w:rsid w:val="00BA40B1"/>
    <w:rsid w:val="00BA45A9"/>
    <w:rsid w:val="00BA4610"/>
    <w:rsid w:val="00BA46F7"/>
    <w:rsid w:val="00BA477D"/>
    <w:rsid w:val="00BA4804"/>
    <w:rsid w:val="00BA4A2B"/>
    <w:rsid w:val="00BA4AE8"/>
    <w:rsid w:val="00BA4B08"/>
    <w:rsid w:val="00BA4CAA"/>
    <w:rsid w:val="00BA4CFE"/>
    <w:rsid w:val="00BA4D68"/>
    <w:rsid w:val="00BA5071"/>
    <w:rsid w:val="00BA527B"/>
    <w:rsid w:val="00BA52FE"/>
    <w:rsid w:val="00BA5357"/>
    <w:rsid w:val="00BA53CD"/>
    <w:rsid w:val="00BA5676"/>
    <w:rsid w:val="00BA575C"/>
    <w:rsid w:val="00BA5806"/>
    <w:rsid w:val="00BA58EB"/>
    <w:rsid w:val="00BA5A10"/>
    <w:rsid w:val="00BA5BA6"/>
    <w:rsid w:val="00BA5BC2"/>
    <w:rsid w:val="00BA5C12"/>
    <w:rsid w:val="00BA5E1F"/>
    <w:rsid w:val="00BA5E78"/>
    <w:rsid w:val="00BA6476"/>
    <w:rsid w:val="00BA6605"/>
    <w:rsid w:val="00BA6837"/>
    <w:rsid w:val="00BA6858"/>
    <w:rsid w:val="00BA69EE"/>
    <w:rsid w:val="00BA6AA1"/>
    <w:rsid w:val="00BA6C0A"/>
    <w:rsid w:val="00BA6CB8"/>
    <w:rsid w:val="00BA6CDF"/>
    <w:rsid w:val="00BA6E93"/>
    <w:rsid w:val="00BA70B2"/>
    <w:rsid w:val="00BA715A"/>
    <w:rsid w:val="00BA724C"/>
    <w:rsid w:val="00BA7266"/>
    <w:rsid w:val="00BA726F"/>
    <w:rsid w:val="00BA7550"/>
    <w:rsid w:val="00BA7713"/>
    <w:rsid w:val="00BA7732"/>
    <w:rsid w:val="00BA784C"/>
    <w:rsid w:val="00BA7958"/>
    <w:rsid w:val="00BA7A88"/>
    <w:rsid w:val="00BA7D8D"/>
    <w:rsid w:val="00BA7DC9"/>
    <w:rsid w:val="00BA7DCE"/>
    <w:rsid w:val="00BA7EB6"/>
    <w:rsid w:val="00BB0087"/>
    <w:rsid w:val="00BB02CB"/>
    <w:rsid w:val="00BB06BA"/>
    <w:rsid w:val="00BB0786"/>
    <w:rsid w:val="00BB0820"/>
    <w:rsid w:val="00BB08A0"/>
    <w:rsid w:val="00BB0A7A"/>
    <w:rsid w:val="00BB0BBB"/>
    <w:rsid w:val="00BB0BD0"/>
    <w:rsid w:val="00BB0C31"/>
    <w:rsid w:val="00BB0D8A"/>
    <w:rsid w:val="00BB0F63"/>
    <w:rsid w:val="00BB102F"/>
    <w:rsid w:val="00BB13B4"/>
    <w:rsid w:val="00BB1513"/>
    <w:rsid w:val="00BB1515"/>
    <w:rsid w:val="00BB1C6A"/>
    <w:rsid w:val="00BB1DAA"/>
    <w:rsid w:val="00BB1DC1"/>
    <w:rsid w:val="00BB1F7A"/>
    <w:rsid w:val="00BB2241"/>
    <w:rsid w:val="00BB22A2"/>
    <w:rsid w:val="00BB231D"/>
    <w:rsid w:val="00BB24B7"/>
    <w:rsid w:val="00BB255B"/>
    <w:rsid w:val="00BB28F4"/>
    <w:rsid w:val="00BB29A0"/>
    <w:rsid w:val="00BB2C3E"/>
    <w:rsid w:val="00BB2C66"/>
    <w:rsid w:val="00BB2CE3"/>
    <w:rsid w:val="00BB2D8C"/>
    <w:rsid w:val="00BB2DA2"/>
    <w:rsid w:val="00BB2E29"/>
    <w:rsid w:val="00BB2E79"/>
    <w:rsid w:val="00BB2ED0"/>
    <w:rsid w:val="00BB2FF2"/>
    <w:rsid w:val="00BB3041"/>
    <w:rsid w:val="00BB30C1"/>
    <w:rsid w:val="00BB3244"/>
    <w:rsid w:val="00BB33A4"/>
    <w:rsid w:val="00BB348D"/>
    <w:rsid w:val="00BB3537"/>
    <w:rsid w:val="00BB358F"/>
    <w:rsid w:val="00BB39BA"/>
    <w:rsid w:val="00BB3A21"/>
    <w:rsid w:val="00BB3BF5"/>
    <w:rsid w:val="00BB3C82"/>
    <w:rsid w:val="00BB421F"/>
    <w:rsid w:val="00BB430A"/>
    <w:rsid w:val="00BB4507"/>
    <w:rsid w:val="00BB4614"/>
    <w:rsid w:val="00BB4776"/>
    <w:rsid w:val="00BB4A4C"/>
    <w:rsid w:val="00BB4AC8"/>
    <w:rsid w:val="00BB4B85"/>
    <w:rsid w:val="00BB4D9E"/>
    <w:rsid w:val="00BB4E09"/>
    <w:rsid w:val="00BB4F63"/>
    <w:rsid w:val="00BB5035"/>
    <w:rsid w:val="00BB5067"/>
    <w:rsid w:val="00BB5337"/>
    <w:rsid w:val="00BB5339"/>
    <w:rsid w:val="00BB549E"/>
    <w:rsid w:val="00BB56D7"/>
    <w:rsid w:val="00BB584E"/>
    <w:rsid w:val="00BB585E"/>
    <w:rsid w:val="00BB58A1"/>
    <w:rsid w:val="00BB597D"/>
    <w:rsid w:val="00BB5B68"/>
    <w:rsid w:val="00BB5D14"/>
    <w:rsid w:val="00BB5D3D"/>
    <w:rsid w:val="00BB5E6D"/>
    <w:rsid w:val="00BB5F0E"/>
    <w:rsid w:val="00BB618A"/>
    <w:rsid w:val="00BB6284"/>
    <w:rsid w:val="00BB65D3"/>
    <w:rsid w:val="00BB6684"/>
    <w:rsid w:val="00BB66C1"/>
    <w:rsid w:val="00BB66C8"/>
    <w:rsid w:val="00BB68B0"/>
    <w:rsid w:val="00BB69E7"/>
    <w:rsid w:val="00BB6A1D"/>
    <w:rsid w:val="00BB6A5F"/>
    <w:rsid w:val="00BB6AD4"/>
    <w:rsid w:val="00BB6CFE"/>
    <w:rsid w:val="00BB6D25"/>
    <w:rsid w:val="00BB6D82"/>
    <w:rsid w:val="00BB6E05"/>
    <w:rsid w:val="00BB6F66"/>
    <w:rsid w:val="00BB7001"/>
    <w:rsid w:val="00BB727F"/>
    <w:rsid w:val="00BB746B"/>
    <w:rsid w:val="00BB76FE"/>
    <w:rsid w:val="00BB7702"/>
    <w:rsid w:val="00BB77BD"/>
    <w:rsid w:val="00BB77E2"/>
    <w:rsid w:val="00BB7B98"/>
    <w:rsid w:val="00BB7BF4"/>
    <w:rsid w:val="00BB7C5E"/>
    <w:rsid w:val="00BB7C9C"/>
    <w:rsid w:val="00BB7E51"/>
    <w:rsid w:val="00BB7F57"/>
    <w:rsid w:val="00BC0041"/>
    <w:rsid w:val="00BC0061"/>
    <w:rsid w:val="00BC01DB"/>
    <w:rsid w:val="00BC045F"/>
    <w:rsid w:val="00BC0486"/>
    <w:rsid w:val="00BC04CE"/>
    <w:rsid w:val="00BC066A"/>
    <w:rsid w:val="00BC08C7"/>
    <w:rsid w:val="00BC0A08"/>
    <w:rsid w:val="00BC0EBF"/>
    <w:rsid w:val="00BC10DC"/>
    <w:rsid w:val="00BC1109"/>
    <w:rsid w:val="00BC119C"/>
    <w:rsid w:val="00BC1258"/>
    <w:rsid w:val="00BC12E2"/>
    <w:rsid w:val="00BC13B7"/>
    <w:rsid w:val="00BC15AC"/>
    <w:rsid w:val="00BC1683"/>
    <w:rsid w:val="00BC16A1"/>
    <w:rsid w:val="00BC1871"/>
    <w:rsid w:val="00BC1C89"/>
    <w:rsid w:val="00BC1CF5"/>
    <w:rsid w:val="00BC1D40"/>
    <w:rsid w:val="00BC1E1D"/>
    <w:rsid w:val="00BC202F"/>
    <w:rsid w:val="00BC209E"/>
    <w:rsid w:val="00BC20D2"/>
    <w:rsid w:val="00BC216D"/>
    <w:rsid w:val="00BC22AA"/>
    <w:rsid w:val="00BC2798"/>
    <w:rsid w:val="00BC28CC"/>
    <w:rsid w:val="00BC28F7"/>
    <w:rsid w:val="00BC2A61"/>
    <w:rsid w:val="00BC2C60"/>
    <w:rsid w:val="00BC2CE3"/>
    <w:rsid w:val="00BC2E0D"/>
    <w:rsid w:val="00BC2E21"/>
    <w:rsid w:val="00BC2EBC"/>
    <w:rsid w:val="00BC3087"/>
    <w:rsid w:val="00BC31A5"/>
    <w:rsid w:val="00BC3249"/>
    <w:rsid w:val="00BC32CF"/>
    <w:rsid w:val="00BC32E5"/>
    <w:rsid w:val="00BC33BA"/>
    <w:rsid w:val="00BC36AE"/>
    <w:rsid w:val="00BC3E15"/>
    <w:rsid w:val="00BC3E69"/>
    <w:rsid w:val="00BC3F52"/>
    <w:rsid w:val="00BC411E"/>
    <w:rsid w:val="00BC4590"/>
    <w:rsid w:val="00BC46E2"/>
    <w:rsid w:val="00BC49BE"/>
    <w:rsid w:val="00BC4FE2"/>
    <w:rsid w:val="00BC502C"/>
    <w:rsid w:val="00BC5058"/>
    <w:rsid w:val="00BC515A"/>
    <w:rsid w:val="00BC5377"/>
    <w:rsid w:val="00BC5625"/>
    <w:rsid w:val="00BC5857"/>
    <w:rsid w:val="00BC5A39"/>
    <w:rsid w:val="00BC5ADA"/>
    <w:rsid w:val="00BC5B4F"/>
    <w:rsid w:val="00BC5D72"/>
    <w:rsid w:val="00BC5DEF"/>
    <w:rsid w:val="00BC5E57"/>
    <w:rsid w:val="00BC5F41"/>
    <w:rsid w:val="00BC5F87"/>
    <w:rsid w:val="00BC5FB7"/>
    <w:rsid w:val="00BC602A"/>
    <w:rsid w:val="00BC6095"/>
    <w:rsid w:val="00BC60D7"/>
    <w:rsid w:val="00BC61EE"/>
    <w:rsid w:val="00BC649D"/>
    <w:rsid w:val="00BC64A1"/>
    <w:rsid w:val="00BC64A4"/>
    <w:rsid w:val="00BC663C"/>
    <w:rsid w:val="00BC67E9"/>
    <w:rsid w:val="00BC698C"/>
    <w:rsid w:val="00BC6A1C"/>
    <w:rsid w:val="00BC6A3B"/>
    <w:rsid w:val="00BC6AAB"/>
    <w:rsid w:val="00BC6B94"/>
    <w:rsid w:val="00BC6BBF"/>
    <w:rsid w:val="00BC6C76"/>
    <w:rsid w:val="00BC6DD8"/>
    <w:rsid w:val="00BC6DFD"/>
    <w:rsid w:val="00BC6E80"/>
    <w:rsid w:val="00BC6F54"/>
    <w:rsid w:val="00BC6FBE"/>
    <w:rsid w:val="00BC7071"/>
    <w:rsid w:val="00BC7186"/>
    <w:rsid w:val="00BC7321"/>
    <w:rsid w:val="00BC746B"/>
    <w:rsid w:val="00BC7568"/>
    <w:rsid w:val="00BC75C6"/>
    <w:rsid w:val="00BC75ED"/>
    <w:rsid w:val="00BC783E"/>
    <w:rsid w:val="00BC794A"/>
    <w:rsid w:val="00BC7AB9"/>
    <w:rsid w:val="00BC7ABE"/>
    <w:rsid w:val="00BC7B75"/>
    <w:rsid w:val="00BC7C0D"/>
    <w:rsid w:val="00BC7C74"/>
    <w:rsid w:val="00BC7F48"/>
    <w:rsid w:val="00BD01DB"/>
    <w:rsid w:val="00BD021A"/>
    <w:rsid w:val="00BD0365"/>
    <w:rsid w:val="00BD04FE"/>
    <w:rsid w:val="00BD0568"/>
    <w:rsid w:val="00BD06B9"/>
    <w:rsid w:val="00BD07A0"/>
    <w:rsid w:val="00BD07E8"/>
    <w:rsid w:val="00BD0BB9"/>
    <w:rsid w:val="00BD0F7A"/>
    <w:rsid w:val="00BD0FAA"/>
    <w:rsid w:val="00BD12CE"/>
    <w:rsid w:val="00BD1309"/>
    <w:rsid w:val="00BD13B3"/>
    <w:rsid w:val="00BD13EF"/>
    <w:rsid w:val="00BD1422"/>
    <w:rsid w:val="00BD142D"/>
    <w:rsid w:val="00BD1430"/>
    <w:rsid w:val="00BD14B4"/>
    <w:rsid w:val="00BD1544"/>
    <w:rsid w:val="00BD178D"/>
    <w:rsid w:val="00BD19A8"/>
    <w:rsid w:val="00BD1D97"/>
    <w:rsid w:val="00BD1E15"/>
    <w:rsid w:val="00BD1E21"/>
    <w:rsid w:val="00BD1E4A"/>
    <w:rsid w:val="00BD1E90"/>
    <w:rsid w:val="00BD1F34"/>
    <w:rsid w:val="00BD1FC4"/>
    <w:rsid w:val="00BD1FFD"/>
    <w:rsid w:val="00BD206C"/>
    <w:rsid w:val="00BD2132"/>
    <w:rsid w:val="00BD2179"/>
    <w:rsid w:val="00BD22B4"/>
    <w:rsid w:val="00BD2389"/>
    <w:rsid w:val="00BD23FC"/>
    <w:rsid w:val="00BD2500"/>
    <w:rsid w:val="00BD250D"/>
    <w:rsid w:val="00BD258C"/>
    <w:rsid w:val="00BD2666"/>
    <w:rsid w:val="00BD26EF"/>
    <w:rsid w:val="00BD27EA"/>
    <w:rsid w:val="00BD28B4"/>
    <w:rsid w:val="00BD29B6"/>
    <w:rsid w:val="00BD2BCC"/>
    <w:rsid w:val="00BD2CF4"/>
    <w:rsid w:val="00BD2D5C"/>
    <w:rsid w:val="00BD2EB7"/>
    <w:rsid w:val="00BD3093"/>
    <w:rsid w:val="00BD30DB"/>
    <w:rsid w:val="00BD329F"/>
    <w:rsid w:val="00BD3394"/>
    <w:rsid w:val="00BD33FA"/>
    <w:rsid w:val="00BD34AF"/>
    <w:rsid w:val="00BD352C"/>
    <w:rsid w:val="00BD3565"/>
    <w:rsid w:val="00BD3683"/>
    <w:rsid w:val="00BD3687"/>
    <w:rsid w:val="00BD3980"/>
    <w:rsid w:val="00BD3BA9"/>
    <w:rsid w:val="00BD3C5C"/>
    <w:rsid w:val="00BD3CB9"/>
    <w:rsid w:val="00BD3F0D"/>
    <w:rsid w:val="00BD3F64"/>
    <w:rsid w:val="00BD406C"/>
    <w:rsid w:val="00BD40D0"/>
    <w:rsid w:val="00BD41CC"/>
    <w:rsid w:val="00BD41F3"/>
    <w:rsid w:val="00BD421B"/>
    <w:rsid w:val="00BD4241"/>
    <w:rsid w:val="00BD4339"/>
    <w:rsid w:val="00BD44E3"/>
    <w:rsid w:val="00BD4726"/>
    <w:rsid w:val="00BD4809"/>
    <w:rsid w:val="00BD4AC9"/>
    <w:rsid w:val="00BD4B67"/>
    <w:rsid w:val="00BD4D1A"/>
    <w:rsid w:val="00BD4E84"/>
    <w:rsid w:val="00BD5036"/>
    <w:rsid w:val="00BD50A4"/>
    <w:rsid w:val="00BD5250"/>
    <w:rsid w:val="00BD5268"/>
    <w:rsid w:val="00BD5290"/>
    <w:rsid w:val="00BD58AA"/>
    <w:rsid w:val="00BD58F0"/>
    <w:rsid w:val="00BD5A1A"/>
    <w:rsid w:val="00BD5AC8"/>
    <w:rsid w:val="00BD5AED"/>
    <w:rsid w:val="00BD5BCE"/>
    <w:rsid w:val="00BD5D71"/>
    <w:rsid w:val="00BD5D98"/>
    <w:rsid w:val="00BD5FA4"/>
    <w:rsid w:val="00BD5FB9"/>
    <w:rsid w:val="00BD604E"/>
    <w:rsid w:val="00BD6125"/>
    <w:rsid w:val="00BD6366"/>
    <w:rsid w:val="00BD67B9"/>
    <w:rsid w:val="00BD6FC8"/>
    <w:rsid w:val="00BD6FF2"/>
    <w:rsid w:val="00BD71EE"/>
    <w:rsid w:val="00BD738D"/>
    <w:rsid w:val="00BD75D7"/>
    <w:rsid w:val="00BD775D"/>
    <w:rsid w:val="00BD7797"/>
    <w:rsid w:val="00BD7831"/>
    <w:rsid w:val="00BD7D97"/>
    <w:rsid w:val="00BE0023"/>
    <w:rsid w:val="00BE0036"/>
    <w:rsid w:val="00BE0056"/>
    <w:rsid w:val="00BE00E2"/>
    <w:rsid w:val="00BE035F"/>
    <w:rsid w:val="00BE04C5"/>
    <w:rsid w:val="00BE04F6"/>
    <w:rsid w:val="00BE07A0"/>
    <w:rsid w:val="00BE0855"/>
    <w:rsid w:val="00BE0C0B"/>
    <w:rsid w:val="00BE0C67"/>
    <w:rsid w:val="00BE0CA2"/>
    <w:rsid w:val="00BE0D04"/>
    <w:rsid w:val="00BE0DBE"/>
    <w:rsid w:val="00BE0E1C"/>
    <w:rsid w:val="00BE0EF1"/>
    <w:rsid w:val="00BE1154"/>
    <w:rsid w:val="00BE1255"/>
    <w:rsid w:val="00BE1489"/>
    <w:rsid w:val="00BE1900"/>
    <w:rsid w:val="00BE1B9A"/>
    <w:rsid w:val="00BE1BC6"/>
    <w:rsid w:val="00BE1BCD"/>
    <w:rsid w:val="00BE1E99"/>
    <w:rsid w:val="00BE1F61"/>
    <w:rsid w:val="00BE2024"/>
    <w:rsid w:val="00BE213D"/>
    <w:rsid w:val="00BE2296"/>
    <w:rsid w:val="00BE2409"/>
    <w:rsid w:val="00BE241E"/>
    <w:rsid w:val="00BE2470"/>
    <w:rsid w:val="00BE247B"/>
    <w:rsid w:val="00BE2679"/>
    <w:rsid w:val="00BE26DF"/>
    <w:rsid w:val="00BE2798"/>
    <w:rsid w:val="00BE2B89"/>
    <w:rsid w:val="00BE2C1B"/>
    <w:rsid w:val="00BE2CB8"/>
    <w:rsid w:val="00BE2D28"/>
    <w:rsid w:val="00BE2E2E"/>
    <w:rsid w:val="00BE2E64"/>
    <w:rsid w:val="00BE2F1E"/>
    <w:rsid w:val="00BE2FDB"/>
    <w:rsid w:val="00BE3066"/>
    <w:rsid w:val="00BE32AE"/>
    <w:rsid w:val="00BE32C2"/>
    <w:rsid w:val="00BE335C"/>
    <w:rsid w:val="00BE34E6"/>
    <w:rsid w:val="00BE3530"/>
    <w:rsid w:val="00BE3858"/>
    <w:rsid w:val="00BE3A25"/>
    <w:rsid w:val="00BE3B0B"/>
    <w:rsid w:val="00BE3B4A"/>
    <w:rsid w:val="00BE3BAB"/>
    <w:rsid w:val="00BE3C87"/>
    <w:rsid w:val="00BE3E89"/>
    <w:rsid w:val="00BE3EDC"/>
    <w:rsid w:val="00BE3FA0"/>
    <w:rsid w:val="00BE3FBB"/>
    <w:rsid w:val="00BE41E6"/>
    <w:rsid w:val="00BE42CF"/>
    <w:rsid w:val="00BE4429"/>
    <w:rsid w:val="00BE4443"/>
    <w:rsid w:val="00BE459A"/>
    <w:rsid w:val="00BE464C"/>
    <w:rsid w:val="00BE46F8"/>
    <w:rsid w:val="00BE4825"/>
    <w:rsid w:val="00BE482F"/>
    <w:rsid w:val="00BE4914"/>
    <w:rsid w:val="00BE4CE0"/>
    <w:rsid w:val="00BE4D1C"/>
    <w:rsid w:val="00BE4F50"/>
    <w:rsid w:val="00BE5070"/>
    <w:rsid w:val="00BE5071"/>
    <w:rsid w:val="00BE50D9"/>
    <w:rsid w:val="00BE50E6"/>
    <w:rsid w:val="00BE54C3"/>
    <w:rsid w:val="00BE5635"/>
    <w:rsid w:val="00BE575C"/>
    <w:rsid w:val="00BE585C"/>
    <w:rsid w:val="00BE5915"/>
    <w:rsid w:val="00BE5D00"/>
    <w:rsid w:val="00BE5D69"/>
    <w:rsid w:val="00BE5E40"/>
    <w:rsid w:val="00BE5E57"/>
    <w:rsid w:val="00BE5F4B"/>
    <w:rsid w:val="00BE60CC"/>
    <w:rsid w:val="00BE6186"/>
    <w:rsid w:val="00BE6336"/>
    <w:rsid w:val="00BE640B"/>
    <w:rsid w:val="00BE6731"/>
    <w:rsid w:val="00BE6921"/>
    <w:rsid w:val="00BE6A01"/>
    <w:rsid w:val="00BE6A71"/>
    <w:rsid w:val="00BE6A8A"/>
    <w:rsid w:val="00BE6B06"/>
    <w:rsid w:val="00BE6B74"/>
    <w:rsid w:val="00BE6F14"/>
    <w:rsid w:val="00BE7034"/>
    <w:rsid w:val="00BE727D"/>
    <w:rsid w:val="00BE7353"/>
    <w:rsid w:val="00BE743D"/>
    <w:rsid w:val="00BE7446"/>
    <w:rsid w:val="00BE7456"/>
    <w:rsid w:val="00BE7742"/>
    <w:rsid w:val="00BE78C0"/>
    <w:rsid w:val="00BE791A"/>
    <w:rsid w:val="00BE7937"/>
    <w:rsid w:val="00BE79BE"/>
    <w:rsid w:val="00BE7B2B"/>
    <w:rsid w:val="00BE7C56"/>
    <w:rsid w:val="00BE7C90"/>
    <w:rsid w:val="00BE7CFC"/>
    <w:rsid w:val="00BE7E40"/>
    <w:rsid w:val="00BE7EDE"/>
    <w:rsid w:val="00BF00D3"/>
    <w:rsid w:val="00BF00D4"/>
    <w:rsid w:val="00BF01BD"/>
    <w:rsid w:val="00BF0304"/>
    <w:rsid w:val="00BF0318"/>
    <w:rsid w:val="00BF0587"/>
    <w:rsid w:val="00BF065D"/>
    <w:rsid w:val="00BF06A8"/>
    <w:rsid w:val="00BF0704"/>
    <w:rsid w:val="00BF087B"/>
    <w:rsid w:val="00BF0AB0"/>
    <w:rsid w:val="00BF0C9E"/>
    <w:rsid w:val="00BF0D18"/>
    <w:rsid w:val="00BF0D55"/>
    <w:rsid w:val="00BF0E4A"/>
    <w:rsid w:val="00BF0F23"/>
    <w:rsid w:val="00BF0F44"/>
    <w:rsid w:val="00BF0FBD"/>
    <w:rsid w:val="00BF0FDF"/>
    <w:rsid w:val="00BF1188"/>
    <w:rsid w:val="00BF145D"/>
    <w:rsid w:val="00BF1640"/>
    <w:rsid w:val="00BF1652"/>
    <w:rsid w:val="00BF1C24"/>
    <w:rsid w:val="00BF1D0E"/>
    <w:rsid w:val="00BF1EE2"/>
    <w:rsid w:val="00BF1F2B"/>
    <w:rsid w:val="00BF21C6"/>
    <w:rsid w:val="00BF222A"/>
    <w:rsid w:val="00BF2250"/>
    <w:rsid w:val="00BF228A"/>
    <w:rsid w:val="00BF2305"/>
    <w:rsid w:val="00BF2819"/>
    <w:rsid w:val="00BF293D"/>
    <w:rsid w:val="00BF299A"/>
    <w:rsid w:val="00BF2A54"/>
    <w:rsid w:val="00BF2C3C"/>
    <w:rsid w:val="00BF2E75"/>
    <w:rsid w:val="00BF2F4A"/>
    <w:rsid w:val="00BF2FA9"/>
    <w:rsid w:val="00BF301B"/>
    <w:rsid w:val="00BF304D"/>
    <w:rsid w:val="00BF3224"/>
    <w:rsid w:val="00BF34A2"/>
    <w:rsid w:val="00BF34D5"/>
    <w:rsid w:val="00BF35BE"/>
    <w:rsid w:val="00BF3990"/>
    <w:rsid w:val="00BF3ADB"/>
    <w:rsid w:val="00BF3BD2"/>
    <w:rsid w:val="00BF3C49"/>
    <w:rsid w:val="00BF3E34"/>
    <w:rsid w:val="00BF3F50"/>
    <w:rsid w:val="00BF4136"/>
    <w:rsid w:val="00BF44B3"/>
    <w:rsid w:val="00BF45D1"/>
    <w:rsid w:val="00BF46D9"/>
    <w:rsid w:val="00BF47D5"/>
    <w:rsid w:val="00BF4810"/>
    <w:rsid w:val="00BF487A"/>
    <w:rsid w:val="00BF48A7"/>
    <w:rsid w:val="00BF4A51"/>
    <w:rsid w:val="00BF4A91"/>
    <w:rsid w:val="00BF4CED"/>
    <w:rsid w:val="00BF4DDB"/>
    <w:rsid w:val="00BF4DDF"/>
    <w:rsid w:val="00BF4E16"/>
    <w:rsid w:val="00BF4EB1"/>
    <w:rsid w:val="00BF4F5A"/>
    <w:rsid w:val="00BF4F68"/>
    <w:rsid w:val="00BF5216"/>
    <w:rsid w:val="00BF525C"/>
    <w:rsid w:val="00BF52BB"/>
    <w:rsid w:val="00BF54D6"/>
    <w:rsid w:val="00BF54EC"/>
    <w:rsid w:val="00BF5A0A"/>
    <w:rsid w:val="00BF5AC9"/>
    <w:rsid w:val="00BF5B38"/>
    <w:rsid w:val="00BF5C52"/>
    <w:rsid w:val="00BF5DB9"/>
    <w:rsid w:val="00BF5E12"/>
    <w:rsid w:val="00BF5E63"/>
    <w:rsid w:val="00BF624B"/>
    <w:rsid w:val="00BF6294"/>
    <w:rsid w:val="00BF62EF"/>
    <w:rsid w:val="00BF65A3"/>
    <w:rsid w:val="00BF65E8"/>
    <w:rsid w:val="00BF6614"/>
    <w:rsid w:val="00BF6715"/>
    <w:rsid w:val="00BF6900"/>
    <w:rsid w:val="00BF696E"/>
    <w:rsid w:val="00BF6A03"/>
    <w:rsid w:val="00BF6E97"/>
    <w:rsid w:val="00BF6EF1"/>
    <w:rsid w:val="00BF6F20"/>
    <w:rsid w:val="00BF7008"/>
    <w:rsid w:val="00BF7034"/>
    <w:rsid w:val="00BF7050"/>
    <w:rsid w:val="00BF7071"/>
    <w:rsid w:val="00BF7091"/>
    <w:rsid w:val="00BF71C9"/>
    <w:rsid w:val="00BF71E0"/>
    <w:rsid w:val="00BF7213"/>
    <w:rsid w:val="00BF7369"/>
    <w:rsid w:val="00BF73DB"/>
    <w:rsid w:val="00BF73F2"/>
    <w:rsid w:val="00BF7462"/>
    <w:rsid w:val="00BF74AE"/>
    <w:rsid w:val="00BF7735"/>
    <w:rsid w:val="00BF7B9A"/>
    <w:rsid w:val="00BF7C5D"/>
    <w:rsid w:val="00BF7D3F"/>
    <w:rsid w:val="00BF7DB8"/>
    <w:rsid w:val="00BF7F0D"/>
    <w:rsid w:val="00C0050C"/>
    <w:rsid w:val="00C00523"/>
    <w:rsid w:val="00C0055A"/>
    <w:rsid w:val="00C007A2"/>
    <w:rsid w:val="00C007E6"/>
    <w:rsid w:val="00C00848"/>
    <w:rsid w:val="00C008B9"/>
    <w:rsid w:val="00C00965"/>
    <w:rsid w:val="00C00AD9"/>
    <w:rsid w:val="00C00BD0"/>
    <w:rsid w:val="00C00C30"/>
    <w:rsid w:val="00C00C3B"/>
    <w:rsid w:val="00C00DB7"/>
    <w:rsid w:val="00C00DC8"/>
    <w:rsid w:val="00C00E4A"/>
    <w:rsid w:val="00C010F0"/>
    <w:rsid w:val="00C0149A"/>
    <w:rsid w:val="00C015A7"/>
    <w:rsid w:val="00C016A0"/>
    <w:rsid w:val="00C01C12"/>
    <w:rsid w:val="00C01C7C"/>
    <w:rsid w:val="00C01D1B"/>
    <w:rsid w:val="00C01FDE"/>
    <w:rsid w:val="00C0209C"/>
    <w:rsid w:val="00C0216A"/>
    <w:rsid w:val="00C02207"/>
    <w:rsid w:val="00C02292"/>
    <w:rsid w:val="00C023C7"/>
    <w:rsid w:val="00C026AA"/>
    <w:rsid w:val="00C02841"/>
    <w:rsid w:val="00C0299C"/>
    <w:rsid w:val="00C02C88"/>
    <w:rsid w:val="00C02C98"/>
    <w:rsid w:val="00C02D73"/>
    <w:rsid w:val="00C02D84"/>
    <w:rsid w:val="00C02F4A"/>
    <w:rsid w:val="00C030B4"/>
    <w:rsid w:val="00C032C0"/>
    <w:rsid w:val="00C032E5"/>
    <w:rsid w:val="00C0379E"/>
    <w:rsid w:val="00C03902"/>
    <w:rsid w:val="00C03AE8"/>
    <w:rsid w:val="00C03B0C"/>
    <w:rsid w:val="00C03B0E"/>
    <w:rsid w:val="00C03C29"/>
    <w:rsid w:val="00C03CC2"/>
    <w:rsid w:val="00C03D1E"/>
    <w:rsid w:val="00C03D65"/>
    <w:rsid w:val="00C03F55"/>
    <w:rsid w:val="00C040A4"/>
    <w:rsid w:val="00C04216"/>
    <w:rsid w:val="00C042D4"/>
    <w:rsid w:val="00C04394"/>
    <w:rsid w:val="00C043A7"/>
    <w:rsid w:val="00C04557"/>
    <w:rsid w:val="00C0460E"/>
    <w:rsid w:val="00C0493D"/>
    <w:rsid w:val="00C04C63"/>
    <w:rsid w:val="00C04CE0"/>
    <w:rsid w:val="00C04D75"/>
    <w:rsid w:val="00C04F0E"/>
    <w:rsid w:val="00C04F36"/>
    <w:rsid w:val="00C04F51"/>
    <w:rsid w:val="00C051C2"/>
    <w:rsid w:val="00C052AD"/>
    <w:rsid w:val="00C052F0"/>
    <w:rsid w:val="00C05448"/>
    <w:rsid w:val="00C05485"/>
    <w:rsid w:val="00C054E8"/>
    <w:rsid w:val="00C05628"/>
    <w:rsid w:val="00C056BE"/>
    <w:rsid w:val="00C056E6"/>
    <w:rsid w:val="00C05722"/>
    <w:rsid w:val="00C05745"/>
    <w:rsid w:val="00C057A4"/>
    <w:rsid w:val="00C057B5"/>
    <w:rsid w:val="00C057D7"/>
    <w:rsid w:val="00C058B8"/>
    <w:rsid w:val="00C059D5"/>
    <w:rsid w:val="00C05AA0"/>
    <w:rsid w:val="00C05B77"/>
    <w:rsid w:val="00C05FB0"/>
    <w:rsid w:val="00C05FEA"/>
    <w:rsid w:val="00C060E6"/>
    <w:rsid w:val="00C0623A"/>
    <w:rsid w:val="00C062F9"/>
    <w:rsid w:val="00C06615"/>
    <w:rsid w:val="00C066D9"/>
    <w:rsid w:val="00C06862"/>
    <w:rsid w:val="00C068BE"/>
    <w:rsid w:val="00C06AC9"/>
    <w:rsid w:val="00C06F35"/>
    <w:rsid w:val="00C07043"/>
    <w:rsid w:val="00C0757D"/>
    <w:rsid w:val="00C076AA"/>
    <w:rsid w:val="00C076D5"/>
    <w:rsid w:val="00C07872"/>
    <w:rsid w:val="00C07883"/>
    <w:rsid w:val="00C0793A"/>
    <w:rsid w:val="00C07955"/>
    <w:rsid w:val="00C07B99"/>
    <w:rsid w:val="00C07CD1"/>
    <w:rsid w:val="00C07EB2"/>
    <w:rsid w:val="00C1005B"/>
    <w:rsid w:val="00C10097"/>
    <w:rsid w:val="00C10216"/>
    <w:rsid w:val="00C1023D"/>
    <w:rsid w:val="00C1043B"/>
    <w:rsid w:val="00C104BB"/>
    <w:rsid w:val="00C10720"/>
    <w:rsid w:val="00C10770"/>
    <w:rsid w:val="00C107E1"/>
    <w:rsid w:val="00C10A99"/>
    <w:rsid w:val="00C10BC9"/>
    <w:rsid w:val="00C10D05"/>
    <w:rsid w:val="00C10DFD"/>
    <w:rsid w:val="00C10E53"/>
    <w:rsid w:val="00C1119D"/>
    <w:rsid w:val="00C112C6"/>
    <w:rsid w:val="00C1135B"/>
    <w:rsid w:val="00C113DD"/>
    <w:rsid w:val="00C113E5"/>
    <w:rsid w:val="00C115A3"/>
    <w:rsid w:val="00C11638"/>
    <w:rsid w:val="00C11680"/>
    <w:rsid w:val="00C11796"/>
    <w:rsid w:val="00C117D3"/>
    <w:rsid w:val="00C11AAB"/>
    <w:rsid w:val="00C11F48"/>
    <w:rsid w:val="00C12093"/>
    <w:rsid w:val="00C120F9"/>
    <w:rsid w:val="00C122BB"/>
    <w:rsid w:val="00C123FD"/>
    <w:rsid w:val="00C124D8"/>
    <w:rsid w:val="00C124F8"/>
    <w:rsid w:val="00C12700"/>
    <w:rsid w:val="00C12935"/>
    <w:rsid w:val="00C12996"/>
    <w:rsid w:val="00C129C8"/>
    <w:rsid w:val="00C129EF"/>
    <w:rsid w:val="00C12A07"/>
    <w:rsid w:val="00C12ADF"/>
    <w:rsid w:val="00C12C40"/>
    <w:rsid w:val="00C12E1A"/>
    <w:rsid w:val="00C12FD4"/>
    <w:rsid w:val="00C1301F"/>
    <w:rsid w:val="00C13329"/>
    <w:rsid w:val="00C1341A"/>
    <w:rsid w:val="00C1365F"/>
    <w:rsid w:val="00C13808"/>
    <w:rsid w:val="00C138CE"/>
    <w:rsid w:val="00C13954"/>
    <w:rsid w:val="00C139AA"/>
    <w:rsid w:val="00C13B5B"/>
    <w:rsid w:val="00C13F61"/>
    <w:rsid w:val="00C14135"/>
    <w:rsid w:val="00C14516"/>
    <w:rsid w:val="00C1457B"/>
    <w:rsid w:val="00C14646"/>
    <w:rsid w:val="00C146A1"/>
    <w:rsid w:val="00C14797"/>
    <w:rsid w:val="00C147C0"/>
    <w:rsid w:val="00C14911"/>
    <w:rsid w:val="00C149F3"/>
    <w:rsid w:val="00C14DF9"/>
    <w:rsid w:val="00C1520A"/>
    <w:rsid w:val="00C1523C"/>
    <w:rsid w:val="00C15454"/>
    <w:rsid w:val="00C15503"/>
    <w:rsid w:val="00C15637"/>
    <w:rsid w:val="00C15644"/>
    <w:rsid w:val="00C15876"/>
    <w:rsid w:val="00C15936"/>
    <w:rsid w:val="00C15B5B"/>
    <w:rsid w:val="00C15B6F"/>
    <w:rsid w:val="00C15C32"/>
    <w:rsid w:val="00C15C47"/>
    <w:rsid w:val="00C15C77"/>
    <w:rsid w:val="00C15DE1"/>
    <w:rsid w:val="00C15FD7"/>
    <w:rsid w:val="00C15FF2"/>
    <w:rsid w:val="00C1603D"/>
    <w:rsid w:val="00C1606A"/>
    <w:rsid w:val="00C160D3"/>
    <w:rsid w:val="00C16327"/>
    <w:rsid w:val="00C164E5"/>
    <w:rsid w:val="00C1650D"/>
    <w:rsid w:val="00C1652C"/>
    <w:rsid w:val="00C16929"/>
    <w:rsid w:val="00C16996"/>
    <w:rsid w:val="00C16B4B"/>
    <w:rsid w:val="00C16BF8"/>
    <w:rsid w:val="00C16C45"/>
    <w:rsid w:val="00C16D95"/>
    <w:rsid w:val="00C16EBF"/>
    <w:rsid w:val="00C17301"/>
    <w:rsid w:val="00C17334"/>
    <w:rsid w:val="00C17561"/>
    <w:rsid w:val="00C176B2"/>
    <w:rsid w:val="00C178C0"/>
    <w:rsid w:val="00C17A5F"/>
    <w:rsid w:val="00C17B42"/>
    <w:rsid w:val="00C17D4F"/>
    <w:rsid w:val="00C17F2C"/>
    <w:rsid w:val="00C17FBD"/>
    <w:rsid w:val="00C17FD8"/>
    <w:rsid w:val="00C200A0"/>
    <w:rsid w:val="00C20167"/>
    <w:rsid w:val="00C2049C"/>
    <w:rsid w:val="00C204B9"/>
    <w:rsid w:val="00C2071E"/>
    <w:rsid w:val="00C2075E"/>
    <w:rsid w:val="00C2097F"/>
    <w:rsid w:val="00C209AE"/>
    <w:rsid w:val="00C209DC"/>
    <w:rsid w:val="00C20C5D"/>
    <w:rsid w:val="00C20C9E"/>
    <w:rsid w:val="00C20E47"/>
    <w:rsid w:val="00C20E89"/>
    <w:rsid w:val="00C20F86"/>
    <w:rsid w:val="00C21053"/>
    <w:rsid w:val="00C2106D"/>
    <w:rsid w:val="00C21107"/>
    <w:rsid w:val="00C21169"/>
    <w:rsid w:val="00C213CB"/>
    <w:rsid w:val="00C21456"/>
    <w:rsid w:val="00C2159D"/>
    <w:rsid w:val="00C215BA"/>
    <w:rsid w:val="00C215CB"/>
    <w:rsid w:val="00C21613"/>
    <w:rsid w:val="00C21618"/>
    <w:rsid w:val="00C21730"/>
    <w:rsid w:val="00C21836"/>
    <w:rsid w:val="00C219A0"/>
    <w:rsid w:val="00C21ADC"/>
    <w:rsid w:val="00C21AF4"/>
    <w:rsid w:val="00C21B86"/>
    <w:rsid w:val="00C21DBB"/>
    <w:rsid w:val="00C21ECF"/>
    <w:rsid w:val="00C220BB"/>
    <w:rsid w:val="00C2222A"/>
    <w:rsid w:val="00C22428"/>
    <w:rsid w:val="00C22446"/>
    <w:rsid w:val="00C22657"/>
    <w:rsid w:val="00C22758"/>
    <w:rsid w:val="00C229A8"/>
    <w:rsid w:val="00C22A0E"/>
    <w:rsid w:val="00C22A12"/>
    <w:rsid w:val="00C22BBD"/>
    <w:rsid w:val="00C22DF4"/>
    <w:rsid w:val="00C22E3E"/>
    <w:rsid w:val="00C22EE5"/>
    <w:rsid w:val="00C231E1"/>
    <w:rsid w:val="00C23308"/>
    <w:rsid w:val="00C2340F"/>
    <w:rsid w:val="00C2358E"/>
    <w:rsid w:val="00C23A54"/>
    <w:rsid w:val="00C23A6F"/>
    <w:rsid w:val="00C23EA9"/>
    <w:rsid w:val="00C24285"/>
    <w:rsid w:val="00C2442C"/>
    <w:rsid w:val="00C24526"/>
    <w:rsid w:val="00C245F1"/>
    <w:rsid w:val="00C24834"/>
    <w:rsid w:val="00C2495A"/>
    <w:rsid w:val="00C24A4E"/>
    <w:rsid w:val="00C24BD4"/>
    <w:rsid w:val="00C24C2C"/>
    <w:rsid w:val="00C24EFD"/>
    <w:rsid w:val="00C24FED"/>
    <w:rsid w:val="00C2512C"/>
    <w:rsid w:val="00C2517A"/>
    <w:rsid w:val="00C2528D"/>
    <w:rsid w:val="00C25308"/>
    <w:rsid w:val="00C256B3"/>
    <w:rsid w:val="00C256C7"/>
    <w:rsid w:val="00C25721"/>
    <w:rsid w:val="00C25725"/>
    <w:rsid w:val="00C2585B"/>
    <w:rsid w:val="00C258A8"/>
    <w:rsid w:val="00C25C18"/>
    <w:rsid w:val="00C25C83"/>
    <w:rsid w:val="00C25FCF"/>
    <w:rsid w:val="00C26164"/>
    <w:rsid w:val="00C26201"/>
    <w:rsid w:val="00C26217"/>
    <w:rsid w:val="00C26343"/>
    <w:rsid w:val="00C26540"/>
    <w:rsid w:val="00C265A9"/>
    <w:rsid w:val="00C265DA"/>
    <w:rsid w:val="00C26725"/>
    <w:rsid w:val="00C26728"/>
    <w:rsid w:val="00C267DB"/>
    <w:rsid w:val="00C26A98"/>
    <w:rsid w:val="00C26AC5"/>
    <w:rsid w:val="00C26B82"/>
    <w:rsid w:val="00C26C6A"/>
    <w:rsid w:val="00C27016"/>
    <w:rsid w:val="00C272C0"/>
    <w:rsid w:val="00C27337"/>
    <w:rsid w:val="00C274FE"/>
    <w:rsid w:val="00C2768A"/>
    <w:rsid w:val="00C279EA"/>
    <w:rsid w:val="00C27B50"/>
    <w:rsid w:val="00C27C2C"/>
    <w:rsid w:val="00C27D46"/>
    <w:rsid w:val="00C27DAE"/>
    <w:rsid w:val="00C27DEA"/>
    <w:rsid w:val="00C27DED"/>
    <w:rsid w:val="00C30164"/>
    <w:rsid w:val="00C301FF"/>
    <w:rsid w:val="00C30444"/>
    <w:rsid w:val="00C30545"/>
    <w:rsid w:val="00C306CC"/>
    <w:rsid w:val="00C30710"/>
    <w:rsid w:val="00C30749"/>
    <w:rsid w:val="00C3078B"/>
    <w:rsid w:val="00C307A6"/>
    <w:rsid w:val="00C308F7"/>
    <w:rsid w:val="00C30998"/>
    <w:rsid w:val="00C309A3"/>
    <w:rsid w:val="00C30BB4"/>
    <w:rsid w:val="00C30DA3"/>
    <w:rsid w:val="00C30DEF"/>
    <w:rsid w:val="00C30DFA"/>
    <w:rsid w:val="00C30E02"/>
    <w:rsid w:val="00C30E1B"/>
    <w:rsid w:val="00C30E9C"/>
    <w:rsid w:val="00C30F1C"/>
    <w:rsid w:val="00C30F5D"/>
    <w:rsid w:val="00C31418"/>
    <w:rsid w:val="00C314AB"/>
    <w:rsid w:val="00C31535"/>
    <w:rsid w:val="00C316D9"/>
    <w:rsid w:val="00C3177C"/>
    <w:rsid w:val="00C317B8"/>
    <w:rsid w:val="00C31945"/>
    <w:rsid w:val="00C3196E"/>
    <w:rsid w:val="00C31A92"/>
    <w:rsid w:val="00C31C27"/>
    <w:rsid w:val="00C31F80"/>
    <w:rsid w:val="00C321CC"/>
    <w:rsid w:val="00C321F9"/>
    <w:rsid w:val="00C323A3"/>
    <w:rsid w:val="00C323AD"/>
    <w:rsid w:val="00C323B2"/>
    <w:rsid w:val="00C32493"/>
    <w:rsid w:val="00C32515"/>
    <w:rsid w:val="00C325F2"/>
    <w:rsid w:val="00C32757"/>
    <w:rsid w:val="00C328CC"/>
    <w:rsid w:val="00C32918"/>
    <w:rsid w:val="00C32A26"/>
    <w:rsid w:val="00C32A83"/>
    <w:rsid w:val="00C32C7A"/>
    <w:rsid w:val="00C32EE8"/>
    <w:rsid w:val="00C33049"/>
    <w:rsid w:val="00C33219"/>
    <w:rsid w:val="00C33490"/>
    <w:rsid w:val="00C33555"/>
    <w:rsid w:val="00C33563"/>
    <w:rsid w:val="00C33595"/>
    <w:rsid w:val="00C335AA"/>
    <w:rsid w:val="00C3368D"/>
    <w:rsid w:val="00C3370E"/>
    <w:rsid w:val="00C33781"/>
    <w:rsid w:val="00C3390F"/>
    <w:rsid w:val="00C33A5A"/>
    <w:rsid w:val="00C33BF5"/>
    <w:rsid w:val="00C33C24"/>
    <w:rsid w:val="00C33F03"/>
    <w:rsid w:val="00C34064"/>
    <w:rsid w:val="00C3406E"/>
    <w:rsid w:val="00C34216"/>
    <w:rsid w:val="00C34380"/>
    <w:rsid w:val="00C34428"/>
    <w:rsid w:val="00C34636"/>
    <w:rsid w:val="00C3465F"/>
    <w:rsid w:val="00C3492C"/>
    <w:rsid w:val="00C34CA5"/>
    <w:rsid w:val="00C34E17"/>
    <w:rsid w:val="00C34FC7"/>
    <w:rsid w:val="00C3508B"/>
    <w:rsid w:val="00C35206"/>
    <w:rsid w:val="00C35396"/>
    <w:rsid w:val="00C35407"/>
    <w:rsid w:val="00C3541B"/>
    <w:rsid w:val="00C354A8"/>
    <w:rsid w:val="00C354E7"/>
    <w:rsid w:val="00C35660"/>
    <w:rsid w:val="00C35677"/>
    <w:rsid w:val="00C35751"/>
    <w:rsid w:val="00C357ED"/>
    <w:rsid w:val="00C35947"/>
    <w:rsid w:val="00C359B1"/>
    <w:rsid w:val="00C35A3F"/>
    <w:rsid w:val="00C35A9A"/>
    <w:rsid w:val="00C35B67"/>
    <w:rsid w:val="00C35CCB"/>
    <w:rsid w:val="00C35CF0"/>
    <w:rsid w:val="00C35D28"/>
    <w:rsid w:val="00C35D39"/>
    <w:rsid w:val="00C35DE1"/>
    <w:rsid w:val="00C35FC4"/>
    <w:rsid w:val="00C36533"/>
    <w:rsid w:val="00C3653F"/>
    <w:rsid w:val="00C36592"/>
    <w:rsid w:val="00C36659"/>
    <w:rsid w:val="00C366FD"/>
    <w:rsid w:val="00C367A4"/>
    <w:rsid w:val="00C36A1A"/>
    <w:rsid w:val="00C36A2B"/>
    <w:rsid w:val="00C36B3C"/>
    <w:rsid w:val="00C36B46"/>
    <w:rsid w:val="00C36DE3"/>
    <w:rsid w:val="00C36EB7"/>
    <w:rsid w:val="00C36EEF"/>
    <w:rsid w:val="00C36F29"/>
    <w:rsid w:val="00C36FA3"/>
    <w:rsid w:val="00C36FDA"/>
    <w:rsid w:val="00C37054"/>
    <w:rsid w:val="00C37157"/>
    <w:rsid w:val="00C3739B"/>
    <w:rsid w:val="00C3752B"/>
    <w:rsid w:val="00C37665"/>
    <w:rsid w:val="00C37842"/>
    <w:rsid w:val="00C37910"/>
    <w:rsid w:val="00C37AF4"/>
    <w:rsid w:val="00C37BD5"/>
    <w:rsid w:val="00C37F3E"/>
    <w:rsid w:val="00C40055"/>
    <w:rsid w:val="00C401D8"/>
    <w:rsid w:val="00C402BB"/>
    <w:rsid w:val="00C40362"/>
    <w:rsid w:val="00C40467"/>
    <w:rsid w:val="00C4062E"/>
    <w:rsid w:val="00C406F9"/>
    <w:rsid w:val="00C407F7"/>
    <w:rsid w:val="00C408E5"/>
    <w:rsid w:val="00C40928"/>
    <w:rsid w:val="00C40AD5"/>
    <w:rsid w:val="00C40BDB"/>
    <w:rsid w:val="00C40BF5"/>
    <w:rsid w:val="00C40C9A"/>
    <w:rsid w:val="00C40D42"/>
    <w:rsid w:val="00C40DED"/>
    <w:rsid w:val="00C40E5E"/>
    <w:rsid w:val="00C40FCA"/>
    <w:rsid w:val="00C412D4"/>
    <w:rsid w:val="00C41478"/>
    <w:rsid w:val="00C415F7"/>
    <w:rsid w:val="00C415FA"/>
    <w:rsid w:val="00C41638"/>
    <w:rsid w:val="00C41732"/>
    <w:rsid w:val="00C41871"/>
    <w:rsid w:val="00C41B84"/>
    <w:rsid w:val="00C41C6B"/>
    <w:rsid w:val="00C41E6D"/>
    <w:rsid w:val="00C41F8F"/>
    <w:rsid w:val="00C42053"/>
    <w:rsid w:val="00C42275"/>
    <w:rsid w:val="00C423C1"/>
    <w:rsid w:val="00C4242D"/>
    <w:rsid w:val="00C425DA"/>
    <w:rsid w:val="00C42673"/>
    <w:rsid w:val="00C427C0"/>
    <w:rsid w:val="00C42825"/>
    <w:rsid w:val="00C42845"/>
    <w:rsid w:val="00C42864"/>
    <w:rsid w:val="00C42AAD"/>
    <w:rsid w:val="00C42B92"/>
    <w:rsid w:val="00C42BC4"/>
    <w:rsid w:val="00C42C6B"/>
    <w:rsid w:val="00C42D32"/>
    <w:rsid w:val="00C42E32"/>
    <w:rsid w:val="00C42F2E"/>
    <w:rsid w:val="00C43128"/>
    <w:rsid w:val="00C43133"/>
    <w:rsid w:val="00C434EB"/>
    <w:rsid w:val="00C4369B"/>
    <w:rsid w:val="00C436C9"/>
    <w:rsid w:val="00C43708"/>
    <w:rsid w:val="00C43748"/>
    <w:rsid w:val="00C437B0"/>
    <w:rsid w:val="00C43A3D"/>
    <w:rsid w:val="00C43A4D"/>
    <w:rsid w:val="00C43AF2"/>
    <w:rsid w:val="00C43C08"/>
    <w:rsid w:val="00C43C19"/>
    <w:rsid w:val="00C43C4A"/>
    <w:rsid w:val="00C43C80"/>
    <w:rsid w:val="00C4416A"/>
    <w:rsid w:val="00C44181"/>
    <w:rsid w:val="00C441BA"/>
    <w:rsid w:val="00C442A5"/>
    <w:rsid w:val="00C44466"/>
    <w:rsid w:val="00C444BE"/>
    <w:rsid w:val="00C4465D"/>
    <w:rsid w:val="00C446DE"/>
    <w:rsid w:val="00C446F2"/>
    <w:rsid w:val="00C44700"/>
    <w:rsid w:val="00C44774"/>
    <w:rsid w:val="00C4487B"/>
    <w:rsid w:val="00C44A1F"/>
    <w:rsid w:val="00C44D8A"/>
    <w:rsid w:val="00C44EE0"/>
    <w:rsid w:val="00C44F67"/>
    <w:rsid w:val="00C4503E"/>
    <w:rsid w:val="00C451E6"/>
    <w:rsid w:val="00C452BC"/>
    <w:rsid w:val="00C452C7"/>
    <w:rsid w:val="00C453C1"/>
    <w:rsid w:val="00C454C1"/>
    <w:rsid w:val="00C45500"/>
    <w:rsid w:val="00C4562E"/>
    <w:rsid w:val="00C45683"/>
    <w:rsid w:val="00C456EB"/>
    <w:rsid w:val="00C45737"/>
    <w:rsid w:val="00C45749"/>
    <w:rsid w:val="00C45784"/>
    <w:rsid w:val="00C45898"/>
    <w:rsid w:val="00C45932"/>
    <w:rsid w:val="00C45965"/>
    <w:rsid w:val="00C45A31"/>
    <w:rsid w:val="00C45AF8"/>
    <w:rsid w:val="00C45E2A"/>
    <w:rsid w:val="00C460C8"/>
    <w:rsid w:val="00C460E2"/>
    <w:rsid w:val="00C46106"/>
    <w:rsid w:val="00C461AF"/>
    <w:rsid w:val="00C46440"/>
    <w:rsid w:val="00C466CF"/>
    <w:rsid w:val="00C46950"/>
    <w:rsid w:val="00C4699D"/>
    <w:rsid w:val="00C46AC4"/>
    <w:rsid w:val="00C46B58"/>
    <w:rsid w:val="00C46C5B"/>
    <w:rsid w:val="00C46DD3"/>
    <w:rsid w:val="00C46E0B"/>
    <w:rsid w:val="00C46E2A"/>
    <w:rsid w:val="00C46E3B"/>
    <w:rsid w:val="00C46F14"/>
    <w:rsid w:val="00C46FA2"/>
    <w:rsid w:val="00C46FDB"/>
    <w:rsid w:val="00C47335"/>
    <w:rsid w:val="00C47338"/>
    <w:rsid w:val="00C475D2"/>
    <w:rsid w:val="00C477C2"/>
    <w:rsid w:val="00C4781E"/>
    <w:rsid w:val="00C4791D"/>
    <w:rsid w:val="00C47942"/>
    <w:rsid w:val="00C47947"/>
    <w:rsid w:val="00C4797C"/>
    <w:rsid w:val="00C4799D"/>
    <w:rsid w:val="00C47B89"/>
    <w:rsid w:val="00C47E4A"/>
    <w:rsid w:val="00C47E5C"/>
    <w:rsid w:val="00C47E9D"/>
    <w:rsid w:val="00C47EA3"/>
    <w:rsid w:val="00C500D9"/>
    <w:rsid w:val="00C50185"/>
    <w:rsid w:val="00C50212"/>
    <w:rsid w:val="00C5041B"/>
    <w:rsid w:val="00C504E1"/>
    <w:rsid w:val="00C50983"/>
    <w:rsid w:val="00C509EC"/>
    <w:rsid w:val="00C50BBC"/>
    <w:rsid w:val="00C50E6B"/>
    <w:rsid w:val="00C50F4B"/>
    <w:rsid w:val="00C51012"/>
    <w:rsid w:val="00C51050"/>
    <w:rsid w:val="00C51230"/>
    <w:rsid w:val="00C5149B"/>
    <w:rsid w:val="00C51606"/>
    <w:rsid w:val="00C5181D"/>
    <w:rsid w:val="00C51844"/>
    <w:rsid w:val="00C51973"/>
    <w:rsid w:val="00C51B8E"/>
    <w:rsid w:val="00C51CAE"/>
    <w:rsid w:val="00C51D27"/>
    <w:rsid w:val="00C51D81"/>
    <w:rsid w:val="00C51D99"/>
    <w:rsid w:val="00C51DF4"/>
    <w:rsid w:val="00C51EDD"/>
    <w:rsid w:val="00C520A0"/>
    <w:rsid w:val="00C520D8"/>
    <w:rsid w:val="00C521DB"/>
    <w:rsid w:val="00C52284"/>
    <w:rsid w:val="00C522FF"/>
    <w:rsid w:val="00C52617"/>
    <w:rsid w:val="00C5265F"/>
    <w:rsid w:val="00C52666"/>
    <w:rsid w:val="00C526CB"/>
    <w:rsid w:val="00C5279F"/>
    <w:rsid w:val="00C527D8"/>
    <w:rsid w:val="00C5290F"/>
    <w:rsid w:val="00C52AD9"/>
    <w:rsid w:val="00C52B93"/>
    <w:rsid w:val="00C52BB6"/>
    <w:rsid w:val="00C52CD0"/>
    <w:rsid w:val="00C52CE4"/>
    <w:rsid w:val="00C52E5D"/>
    <w:rsid w:val="00C52E5F"/>
    <w:rsid w:val="00C52E61"/>
    <w:rsid w:val="00C52EB5"/>
    <w:rsid w:val="00C52F81"/>
    <w:rsid w:val="00C52FBC"/>
    <w:rsid w:val="00C52FDE"/>
    <w:rsid w:val="00C531CF"/>
    <w:rsid w:val="00C53244"/>
    <w:rsid w:val="00C53368"/>
    <w:rsid w:val="00C533AB"/>
    <w:rsid w:val="00C533BC"/>
    <w:rsid w:val="00C533CD"/>
    <w:rsid w:val="00C53437"/>
    <w:rsid w:val="00C534A3"/>
    <w:rsid w:val="00C537D5"/>
    <w:rsid w:val="00C5382B"/>
    <w:rsid w:val="00C538A6"/>
    <w:rsid w:val="00C53A0A"/>
    <w:rsid w:val="00C53ADE"/>
    <w:rsid w:val="00C53E18"/>
    <w:rsid w:val="00C53ED5"/>
    <w:rsid w:val="00C53F0A"/>
    <w:rsid w:val="00C540DC"/>
    <w:rsid w:val="00C540FE"/>
    <w:rsid w:val="00C54177"/>
    <w:rsid w:val="00C542B3"/>
    <w:rsid w:val="00C54375"/>
    <w:rsid w:val="00C543AE"/>
    <w:rsid w:val="00C543E1"/>
    <w:rsid w:val="00C547D5"/>
    <w:rsid w:val="00C54852"/>
    <w:rsid w:val="00C54C24"/>
    <w:rsid w:val="00C54D06"/>
    <w:rsid w:val="00C550E6"/>
    <w:rsid w:val="00C55158"/>
    <w:rsid w:val="00C5515C"/>
    <w:rsid w:val="00C551F3"/>
    <w:rsid w:val="00C552CB"/>
    <w:rsid w:val="00C55304"/>
    <w:rsid w:val="00C5577D"/>
    <w:rsid w:val="00C55C04"/>
    <w:rsid w:val="00C55E57"/>
    <w:rsid w:val="00C56147"/>
    <w:rsid w:val="00C5616F"/>
    <w:rsid w:val="00C562FF"/>
    <w:rsid w:val="00C563D9"/>
    <w:rsid w:val="00C5655B"/>
    <w:rsid w:val="00C5665A"/>
    <w:rsid w:val="00C5677F"/>
    <w:rsid w:val="00C56926"/>
    <w:rsid w:val="00C56AAC"/>
    <w:rsid w:val="00C56B54"/>
    <w:rsid w:val="00C56CC2"/>
    <w:rsid w:val="00C56DA3"/>
    <w:rsid w:val="00C56DC4"/>
    <w:rsid w:val="00C56F86"/>
    <w:rsid w:val="00C56FF1"/>
    <w:rsid w:val="00C570CD"/>
    <w:rsid w:val="00C570EF"/>
    <w:rsid w:val="00C57271"/>
    <w:rsid w:val="00C57462"/>
    <w:rsid w:val="00C57480"/>
    <w:rsid w:val="00C574EB"/>
    <w:rsid w:val="00C575DD"/>
    <w:rsid w:val="00C57803"/>
    <w:rsid w:val="00C57CB2"/>
    <w:rsid w:val="00C57E0E"/>
    <w:rsid w:val="00C57E3A"/>
    <w:rsid w:val="00C57E45"/>
    <w:rsid w:val="00C6000A"/>
    <w:rsid w:val="00C6014C"/>
    <w:rsid w:val="00C6044C"/>
    <w:rsid w:val="00C6049E"/>
    <w:rsid w:val="00C60622"/>
    <w:rsid w:val="00C6077F"/>
    <w:rsid w:val="00C60B56"/>
    <w:rsid w:val="00C60B9C"/>
    <w:rsid w:val="00C60BC7"/>
    <w:rsid w:val="00C60F78"/>
    <w:rsid w:val="00C61164"/>
    <w:rsid w:val="00C6120A"/>
    <w:rsid w:val="00C61212"/>
    <w:rsid w:val="00C6126C"/>
    <w:rsid w:val="00C6133C"/>
    <w:rsid w:val="00C61357"/>
    <w:rsid w:val="00C61481"/>
    <w:rsid w:val="00C61515"/>
    <w:rsid w:val="00C6159B"/>
    <w:rsid w:val="00C61B71"/>
    <w:rsid w:val="00C61ECC"/>
    <w:rsid w:val="00C61ED8"/>
    <w:rsid w:val="00C62038"/>
    <w:rsid w:val="00C621C2"/>
    <w:rsid w:val="00C621C7"/>
    <w:rsid w:val="00C623C9"/>
    <w:rsid w:val="00C6248B"/>
    <w:rsid w:val="00C62564"/>
    <w:rsid w:val="00C625E1"/>
    <w:rsid w:val="00C62716"/>
    <w:rsid w:val="00C627D2"/>
    <w:rsid w:val="00C628FD"/>
    <w:rsid w:val="00C62B49"/>
    <w:rsid w:val="00C63213"/>
    <w:rsid w:val="00C6338D"/>
    <w:rsid w:val="00C63766"/>
    <w:rsid w:val="00C63792"/>
    <w:rsid w:val="00C639A6"/>
    <w:rsid w:val="00C63BE7"/>
    <w:rsid w:val="00C63D34"/>
    <w:rsid w:val="00C63DF4"/>
    <w:rsid w:val="00C63FDE"/>
    <w:rsid w:val="00C64135"/>
    <w:rsid w:val="00C64320"/>
    <w:rsid w:val="00C64369"/>
    <w:rsid w:val="00C64488"/>
    <w:rsid w:val="00C64596"/>
    <w:rsid w:val="00C646A9"/>
    <w:rsid w:val="00C64760"/>
    <w:rsid w:val="00C64776"/>
    <w:rsid w:val="00C64B91"/>
    <w:rsid w:val="00C64C6A"/>
    <w:rsid w:val="00C64DE1"/>
    <w:rsid w:val="00C651F7"/>
    <w:rsid w:val="00C653AD"/>
    <w:rsid w:val="00C65426"/>
    <w:rsid w:val="00C6542A"/>
    <w:rsid w:val="00C65438"/>
    <w:rsid w:val="00C654EB"/>
    <w:rsid w:val="00C655CB"/>
    <w:rsid w:val="00C65689"/>
    <w:rsid w:val="00C656A0"/>
    <w:rsid w:val="00C65776"/>
    <w:rsid w:val="00C658BF"/>
    <w:rsid w:val="00C65925"/>
    <w:rsid w:val="00C65EC4"/>
    <w:rsid w:val="00C66197"/>
    <w:rsid w:val="00C66199"/>
    <w:rsid w:val="00C66508"/>
    <w:rsid w:val="00C6668E"/>
    <w:rsid w:val="00C66867"/>
    <w:rsid w:val="00C6695D"/>
    <w:rsid w:val="00C669EB"/>
    <w:rsid w:val="00C669F4"/>
    <w:rsid w:val="00C66A6C"/>
    <w:rsid w:val="00C66A99"/>
    <w:rsid w:val="00C66EAA"/>
    <w:rsid w:val="00C6707B"/>
    <w:rsid w:val="00C67245"/>
    <w:rsid w:val="00C672B1"/>
    <w:rsid w:val="00C672E0"/>
    <w:rsid w:val="00C67312"/>
    <w:rsid w:val="00C67482"/>
    <w:rsid w:val="00C67507"/>
    <w:rsid w:val="00C6752B"/>
    <w:rsid w:val="00C6757F"/>
    <w:rsid w:val="00C6773D"/>
    <w:rsid w:val="00C6792A"/>
    <w:rsid w:val="00C67982"/>
    <w:rsid w:val="00C679B9"/>
    <w:rsid w:val="00C67D47"/>
    <w:rsid w:val="00C67EF6"/>
    <w:rsid w:val="00C67F3D"/>
    <w:rsid w:val="00C67F59"/>
    <w:rsid w:val="00C67FCC"/>
    <w:rsid w:val="00C700FE"/>
    <w:rsid w:val="00C702A8"/>
    <w:rsid w:val="00C7030C"/>
    <w:rsid w:val="00C704D6"/>
    <w:rsid w:val="00C7066D"/>
    <w:rsid w:val="00C706FE"/>
    <w:rsid w:val="00C7086C"/>
    <w:rsid w:val="00C708A4"/>
    <w:rsid w:val="00C70A46"/>
    <w:rsid w:val="00C70A7C"/>
    <w:rsid w:val="00C70C4D"/>
    <w:rsid w:val="00C70D2F"/>
    <w:rsid w:val="00C70DB0"/>
    <w:rsid w:val="00C70E54"/>
    <w:rsid w:val="00C70F50"/>
    <w:rsid w:val="00C7113E"/>
    <w:rsid w:val="00C71199"/>
    <w:rsid w:val="00C712DD"/>
    <w:rsid w:val="00C71373"/>
    <w:rsid w:val="00C714E6"/>
    <w:rsid w:val="00C7152A"/>
    <w:rsid w:val="00C71680"/>
    <w:rsid w:val="00C71688"/>
    <w:rsid w:val="00C716D1"/>
    <w:rsid w:val="00C719E4"/>
    <w:rsid w:val="00C71A94"/>
    <w:rsid w:val="00C71BFD"/>
    <w:rsid w:val="00C71E14"/>
    <w:rsid w:val="00C71E4C"/>
    <w:rsid w:val="00C71FF1"/>
    <w:rsid w:val="00C7206D"/>
    <w:rsid w:val="00C72201"/>
    <w:rsid w:val="00C72390"/>
    <w:rsid w:val="00C72463"/>
    <w:rsid w:val="00C72483"/>
    <w:rsid w:val="00C7252F"/>
    <w:rsid w:val="00C725DA"/>
    <w:rsid w:val="00C727AD"/>
    <w:rsid w:val="00C728F4"/>
    <w:rsid w:val="00C72AA2"/>
    <w:rsid w:val="00C72CBF"/>
    <w:rsid w:val="00C72EEF"/>
    <w:rsid w:val="00C72F14"/>
    <w:rsid w:val="00C72F7B"/>
    <w:rsid w:val="00C73170"/>
    <w:rsid w:val="00C73191"/>
    <w:rsid w:val="00C731D8"/>
    <w:rsid w:val="00C7324A"/>
    <w:rsid w:val="00C73379"/>
    <w:rsid w:val="00C7347D"/>
    <w:rsid w:val="00C734C8"/>
    <w:rsid w:val="00C73502"/>
    <w:rsid w:val="00C73596"/>
    <w:rsid w:val="00C73681"/>
    <w:rsid w:val="00C738B1"/>
    <w:rsid w:val="00C73CEB"/>
    <w:rsid w:val="00C73EDF"/>
    <w:rsid w:val="00C744BF"/>
    <w:rsid w:val="00C74795"/>
    <w:rsid w:val="00C74840"/>
    <w:rsid w:val="00C749C7"/>
    <w:rsid w:val="00C74BE7"/>
    <w:rsid w:val="00C74C68"/>
    <w:rsid w:val="00C74D16"/>
    <w:rsid w:val="00C74D19"/>
    <w:rsid w:val="00C74D48"/>
    <w:rsid w:val="00C74D72"/>
    <w:rsid w:val="00C74F5E"/>
    <w:rsid w:val="00C74F7D"/>
    <w:rsid w:val="00C74FC5"/>
    <w:rsid w:val="00C75098"/>
    <w:rsid w:val="00C750E6"/>
    <w:rsid w:val="00C7515B"/>
    <w:rsid w:val="00C75284"/>
    <w:rsid w:val="00C7543E"/>
    <w:rsid w:val="00C75446"/>
    <w:rsid w:val="00C75621"/>
    <w:rsid w:val="00C756A6"/>
    <w:rsid w:val="00C7586B"/>
    <w:rsid w:val="00C758F4"/>
    <w:rsid w:val="00C75961"/>
    <w:rsid w:val="00C759C3"/>
    <w:rsid w:val="00C75B7A"/>
    <w:rsid w:val="00C75BAB"/>
    <w:rsid w:val="00C75BED"/>
    <w:rsid w:val="00C7612D"/>
    <w:rsid w:val="00C764E4"/>
    <w:rsid w:val="00C764F7"/>
    <w:rsid w:val="00C7660A"/>
    <w:rsid w:val="00C76678"/>
    <w:rsid w:val="00C766EC"/>
    <w:rsid w:val="00C7676C"/>
    <w:rsid w:val="00C7678F"/>
    <w:rsid w:val="00C769C4"/>
    <w:rsid w:val="00C76C23"/>
    <w:rsid w:val="00C76C81"/>
    <w:rsid w:val="00C76C8B"/>
    <w:rsid w:val="00C76E20"/>
    <w:rsid w:val="00C76F02"/>
    <w:rsid w:val="00C76F2E"/>
    <w:rsid w:val="00C76FE0"/>
    <w:rsid w:val="00C770B6"/>
    <w:rsid w:val="00C773E8"/>
    <w:rsid w:val="00C77402"/>
    <w:rsid w:val="00C778A1"/>
    <w:rsid w:val="00C778A9"/>
    <w:rsid w:val="00C77975"/>
    <w:rsid w:val="00C77A10"/>
    <w:rsid w:val="00C77A24"/>
    <w:rsid w:val="00C77A9E"/>
    <w:rsid w:val="00C77C14"/>
    <w:rsid w:val="00C77D2A"/>
    <w:rsid w:val="00C77E99"/>
    <w:rsid w:val="00C77EA0"/>
    <w:rsid w:val="00C77F0E"/>
    <w:rsid w:val="00C8006C"/>
    <w:rsid w:val="00C80202"/>
    <w:rsid w:val="00C802C2"/>
    <w:rsid w:val="00C80462"/>
    <w:rsid w:val="00C804F3"/>
    <w:rsid w:val="00C8061E"/>
    <w:rsid w:val="00C8062A"/>
    <w:rsid w:val="00C80897"/>
    <w:rsid w:val="00C808EA"/>
    <w:rsid w:val="00C80949"/>
    <w:rsid w:val="00C809A7"/>
    <w:rsid w:val="00C80A1B"/>
    <w:rsid w:val="00C80ABD"/>
    <w:rsid w:val="00C80B82"/>
    <w:rsid w:val="00C80BB8"/>
    <w:rsid w:val="00C80F69"/>
    <w:rsid w:val="00C81059"/>
    <w:rsid w:val="00C810BE"/>
    <w:rsid w:val="00C812AB"/>
    <w:rsid w:val="00C81379"/>
    <w:rsid w:val="00C813FA"/>
    <w:rsid w:val="00C814EF"/>
    <w:rsid w:val="00C81691"/>
    <w:rsid w:val="00C817D6"/>
    <w:rsid w:val="00C817FF"/>
    <w:rsid w:val="00C81DCE"/>
    <w:rsid w:val="00C81E67"/>
    <w:rsid w:val="00C820A6"/>
    <w:rsid w:val="00C822A7"/>
    <w:rsid w:val="00C8230C"/>
    <w:rsid w:val="00C82491"/>
    <w:rsid w:val="00C8266E"/>
    <w:rsid w:val="00C82AF7"/>
    <w:rsid w:val="00C82C1A"/>
    <w:rsid w:val="00C82C45"/>
    <w:rsid w:val="00C82C8C"/>
    <w:rsid w:val="00C82CFD"/>
    <w:rsid w:val="00C82D0A"/>
    <w:rsid w:val="00C82DFF"/>
    <w:rsid w:val="00C82EB1"/>
    <w:rsid w:val="00C83156"/>
    <w:rsid w:val="00C833EA"/>
    <w:rsid w:val="00C8344B"/>
    <w:rsid w:val="00C83626"/>
    <w:rsid w:val="00C837A5"/>
    <w:rsid w:val="00C83B93"/>
    <w:rsid w:val="00C83C39"/>
    <w:rsid w:val="00C83E4A"/>
    <w:rsid w:val="00C83E59"/>
    <w:rsid w:val="00C8400F"/>
    <w:rsid w:val="00C8405E"/>
    <w:rsid w:val="00C842D5"/>
    <w:rsid w:val="00C84554"/>
    <w:rsid w:val="00C8467F"/>
    <w:rsid w:val="00C847E7"/>
    <w:rsid w:val="00C84AEC"/>
    <w:rsid w:val="00C84AF3"/>
    <w:rsid w:val="00C84C16"/>
    <w:rsid w:val="00C84EAB"/>
    <w:rsid w:val="00C84FBE"/>
    <w:rsid w:val="00C85030"/>
    <w:rsid w:val="00C852D9"/>
    <w:rsid w:val="00C85352"/>
    <w:rsid w:val="00C85452"/>
    <w:rsid w:val="00C85529"/>
    <w:rsid w:val="00C8576A"/>
    <w:rsid w:val="00C8579C"/>
    <w:rsid w:val="00C85807"/>
    <w:rsid w:val="00C858F5"/>
    <w:rsid w:val="00C8602F"/>
    <w:rsid w:val="00C860FB"/>
    <w:rsid w:val="00C86297"/>
    <w:rsid w:val="00C86313"/>
    <w:rsid w:val="00C86347"/>
    <w:rsid w:val="00C863E6"/>
    <w:rsid w:val="00C864F2"/>
    <w:rsid w:val="00C8684F"/>
    <w:rsid w:val="00C86BE5"/>
    <w:rsid w:val="00C86C8F"/>
    <w:rsid w:val="00C86CC9"/>
    <w:rsid w:val="00C86E0B"/>
    <w:rsid w:val="00C86FDA"/>
    <w:rsid w:val="00C870DD"/>
    <w:rsid w:val="00C87173"/>
    <w:rsid w:val="00C871BF"/>
    <w:rsid w:val="00C87231"/>
    <w:rsid w:val="00C87431"/>
    <w:rsid w:val="00C874E3"/>
    <w:rsid w:val="00C875AB"/>
    <w:rsid w:val="00C875C2"/>
    <w:rsid w:val="00C8766A"/>
    <w:rsid w:val="00C877CD"/>
    <w:rsid w:val="00C87812"/>
    <w:rsid w:val="00C8794F"/>
    <w:rsid w:val="00C879C5"/>
    <w:rsid w:val="00C879F1"/>
    <w:rsid w:val="00C87A18"/>
    <w:rsid w:val="00C87A1E"/>
    <w:rsid w:val="00C87BE0"/>
    <w:rsid w:val="00C87DCB"/>
    <w:rsid w:val="00C87EF5"/>
    <w:rsid w:val="00C9000A"/>
    <w:rsid w:val="00C90252"/>
    <w:rsid w:val="00C90292"/>
    <w:rsid w:val="00C903FE"/>
    <w:rsid w:val="00C906FD"/>
    <w:rsid w:val="00C90780"/>
    <w:rsid w:val="00C907B7"/>
    <w:rsid w:val="00C90864"/>
    <w:rsid w:val="00C90A62"/>
    <w:rsid w:val="00C90A95"/>
    <w:rsid w:val="00C90ACB"/>
    <w:rsid w:val="00C90F72"/>
    <w:rsid w:val="00C91075"/>
    <w:rsid w:val="00C911D6"/>
    <w:rsid w:val="00C9153A"/>
    <w:rsid w:val="00C91570"/>
    <w:rsid w:val="00C915EE"/>
    <w:rsid w:val="00C91A4F"/>
    <w:rsid w:val="00C91B10"/>
    <w:rsid w:val="00C91D54"/>
    <w:rsid w:val="00C91ECF"/>
    <w:rsid w:val="00C91FA6"/>
    <w:rsid w:val="00C92129"/>
    <w:rsid w:val="00C921C8"/>
    <w:rsid w:val="00C92287"/>
    <w:rsid w:val="00C9236B"/>
    <w:rsid w:val="00C923C0"/>
    <w:rsid w:val="00C924A4"/>
    <w:rsid w:val="00C92529"/>
    <w:rsid w:val="00C925F3"/>
    <w:rsid w:val="00C92655"/>
    <w:rsid w:val="00C926D0"/>
    <w:rsid w:val="00C92731"/>
    <w:rsid w:val="00C92D87"/>
    <w:rsid w:val="00C92DA2"/>
    <w:rsid w:val="00C9318D"/>
    <w:rsid w:val="00C93212"/>
    <w:rsid w:val="00C9325E"/>
    <w:rsid w:val="00C932CD"/>
    <w:rsid w:val="00C93303"/>
    <w:rsid w:val="00C933B7"/>
    <w:rsid w:val="00C934C6"/>
    <w:rsid w:val="00C9350C"/>
    <w:rsid w:val="00C935E4"/>
    <w:rsid w:val="00C9360F"/>
    <w:rsid w:val="00C93634"/>
    <w:rsid w:val="00C936D2"/>
    <w:rsid w:val="00C9385F"/>
    <w:rsid w:val="00C93921"/>
    <w:rsid w:val="00C93A10"/>
    <w:rsid w:val="00C93B0D"/>
    <w:rsid w:val="00C93BF2"/>
    <w:rsid w:val="00C93C58"/>
    <w:rsid w:val="00C93F46"/>
    <w:rsid w:val="00C93FA4"/>
    <w:rsid w:val="00C940AD"/>
    <w:rsid w:val="00C94153"/>
    <w:rsid w:val="00C94204"/>
    <w:rsid w:val="00C942C7"/>
    <w:rsid w:val="00C94618"/>
    <w:rsid w:val="00C9471C"/>
    <w:rsid w:val="00C94783"/>
    <w:rsid w:val="00C94813"/>
    <w:rsid w:val="00C9489F"/>
    <w:rsid w:val="00C9492D"/>
    <w:rsid w:val="00C94951"/>
    <w:rsid w:val="00C94B55"/>
    <w:rsid w:val="00C94CC3"/>
    <w:rsid w:val="00C94F5D"/>
    <w:rsid w:val="00C95030"/>
    <w:rsid w:val="00C9507E"/>
    <w:rsid w:val="00C95104"/>
    <w:rsid w:val="00C95133"/>
    <w:rsid w:val="00C9520F"/>
    <w:rsid w:val="00C95369"/>
    <w:rsid w:val="00C95490"/>
    <w:rsid w:val="00C95653"/>
    <w:rsid w:val="00C957AF"/>
    <w:rsid w:val="00C95841"/>
    <w:rsid w:val="00C95F40"/>
    <w:rsid w:val="00C963C6"/>
    <w:rsid w:val="00C9640D"/>
    <w:rsid w:val="00C96447"/>
    <w:rsid w:val="00C96989"/>
    <w:rsid w:val="00C96A70"/>
    <w:rsid w:val="00C96CE1"/>
    <w:rsid w:val="00C96DE8"/>
    <w:rsid w:val="00C96E94"/>
    <w:rsid w:val="00C96EA1"/>
    <w:rsid w:val="00C96EFC"/>
    <w:rsid w:val="00C96F05"/>
    <w:rsid w:val="00C96FE8"/>
    <w:rsid w:val="00C971B5"/>
    <w:rsid w:val="00C971B6"/>
    <w:rsid w:val="00C973F4"/>
    <w:rsid w:val="00C976D1"/>
    <w:rsid w:val="00C977C5"/>
    <w:rsid w:val="00C977F3"/>
    <w:rsid w:val="00C978FB"/>
    <w:rsid w:val="00C97A6E"/>
    <w:rsid w:val="00C97D0E"/>
    <w:rsid w:val="00C97D36"/>
    <w:rsid w:val="00C97D63"/>
    <w:rsid w:val="00C97E53"/>
    <w:rsid w:val="00C97E8B"/>
    <w:rsid w:val="00C97F7A"/>
    <w:rsid w:val="00CA0041"/>
    <w:rsid w:val="00CA016F"/>
    <w:rsid w:val="00CA0252"/>
    <w:rsid w:val="00CA0286"/>
    <w:rsid w:val="00CA046A"/>
    <w:rsid w:val="00CA065D"/>
    <w:rsid w:val="00CA0B24"/>
    <w:rsid w:val="00CA0B42"/>
    <w:rsid w:val="00CA0CCD"/>
    <w:rsid w:val="00CA0ECA"/>
    <w:rsid w:val="00CA0F49"/>
    <w:rsid w:val="00CA113A"/>
    <w:rsid w:val="00CA130C"/>
    <w:rsid w:val="00CA1349"/>
    <w:rsid w:val="00CA1451"/>
    <w:rsid w:val="00CA15DA"/>
    <w:rsid w:val="00CA16F6"/>
    <w:rsid w:val="00CA172E"/>
    <w:rsid w:val="00CA1771"/>
    <w:rsid w:val="00CA1815"/>
    <w:rsid w:val="00CA191E"/>
    <w:rsid w:val="00CA192A"/>
    <w:rsid w:val="00CA1B96"/>
    <w:rsid w:val="00CA1CB2"/>
    <w:rsid w:val="00CA1D2E"/>
    <w:rsid w:val="00CA1D70"/>
    <w:rsid w:val="00CA1F2E"/>
    <w:rsid w:val="00CA2302"/>
    <w:rsid w:val="00CA238F"/>
    <w:rsid w:val="00CA23F3"/>
    <w:rsid w:val="00CA2428"/>
    <w:rsid w:val="00CA261D"/>
    <w:rsid w:val="00CA26D5"/>
    <w:rsid w:val="00CA2785"/>
    <w:rsid w:val="00CA2B5E"/>
    <w:rsid w:val="00CA2CB8"/>
    <w:rsid w:val="00CA3028"/>
    <w:rsid w:val="00CA3035"/>
    <w:rsid w:val="00CA3117"/>
    <w:rsid w:val="00CA332E"/>
    <w:rsid w:val="00CA3332"/>
    <w:rsid w:val="00CA3337"/>
    <w:rsid w:val="00CA33BE"/>
    <w:rsid w:val="00CA33DE"/>
    <w:rsid w:val="00CA3443"/>
    <w:rsid w:val="00CA34D2"/>
    <w:rsid w:val="00CA34E0"/>
    <w:rsid w:val="00CA366A"/>
    <w:rsid w:val="00CA3886"/>
    <w:rsid w:val="00CA38A4"/>
    <w:rsid w:val="00CA3AD8"/>
    <w:rsid w:val="00CA3B3D"/>
    <w:rsid w:val="00CA3EBB"/>
    <w:rsid w:val="00CA3FC2"/>
    <w:rsid w:val="00CA4214"/>
    <w:rsid w:val="00CA427E"/>
    <w:rsid w:val="00CA42B8"/>
    <w:rsid w:val="00CA42EC"/>
    <w:rsid w:val="00CA446F"/>
    <w:rsid w:val="00CA466A"/>
    <w:rsid w:val="00CA48BD"/>
    <w:rsid w:val="00CA48C8"/>
    <w:rsid w:val="00CA491D"/>
    <w:rsid w:val="00CA4AD0"/>
    <w:rsid w:val="00CA4CBA"/>
    <w:rsid w:val="00CA4CC5"/>
    <w:rsid w:val="00CA4D91"/>
    <w:rsid w:val="00CA4DC4"/>
    <w:rsid w:val="00CA4EDF"/>
    <w:rsid w:val="00CA4F0A"/>
    <w:rsid w:val="00CA554B"/>
    <w:rsid w:val="00CA569E"/>
    <w:rsid w:val="00CA56E0"/>
    <w:rsid w:val="00CA5732"/>
    <w:rsid w:val="00CA5741"/>
    <w:rsid w:val="00CA5788"/>
    <w:rsid w:val="00CA5A50"/>
    <w:rsid w:val="00CA5B25"/>
    <w:rsid w:val="00CA5B70"/>
    <w:rsid w:val="00CA5E0B"/>
    <w:rsid w:val="00CA5E16"/>
    <w:rsid w:val="00CA6368"/>
    <w:rsid w:val="00CA65AB"/>
    <w:rsid w:val="00CA6838"/>
    <w:rsid w:val="00CA697C"/>
    <w:rsid w:val="00CA6AE8"/>
    <w:rsid w:val="00CA6C67"/>
    <w:rsid w:val="00CA6F83"/>
    <w:rsid w:val="00CA71A8"/>
    <w:rsid w:val="00CA7268"/>
    <w:rsid w:val="00CA72A0"/>
    <w:rsid w:val="00CA7350"/>
    <w:rsid w:val="00CA73B0"/>
    <w:rsid w:val="00CA773B"/>
    <w:rsid w:val="00CA774E"/>
    <w:rsid w:val="00CA7876"/>
    <w:rsid w:val="00CA788E"/>
    <w:rsid w:val="00CA78DF"/>
    <w:rsid w:val="00CA7A6D"/>
    <w:rsid w:val="00CA7A90"/>
    <w:rsid w:val="00CA7D5B"/>
    <w:rsid w:val="00CA7FD8"/>
    <w:rsid w:val="00CB0169"/>
    <w:rsid w:val="00CB0384"/>
    <w:rsid w:val="00CB0528"/>
    <w:rsid w:val="00CB0586"/>
    <w:rsid w:val="00CB0618"/>
    <w:rsid w:val="00CB09E9"/>
    <w:rsid w:val="00CB0AE1"/>
    <w:rsid w:val="00CB0B11"/>
    <w:rsid w:val="00CB0BC2"/>
    <w:rsid w:val="00CB0C44"/>
    <w:rsid w:val="00CB0FBB"/>
    <w:rsid w:val="00CB10F0"/>
    <w:rsid w:val="00CB1143"/>
    <w:rsid w:val="00CB1300"/>
    <w:rsid w:val="00CB136D"/>
    <w:rsid w:val="00CB1477"/>
    <w:rsid w:val="00CB1805"/>
    <w:rsid w:val="00CB18A1"/>
    <w:rsid w:val="00CB19FC"/>
    <w:rsid w:val="00CB1AC7"/>
    <w:rsid w:val="00CB1E67"/>
    <w:rsid w:val="00CB2111"/>
    <w:rsid w:val="00CB2150"/>
    <w:rsid w:val="00CB2425"/>
    <w:rsid w:val="00CB2577"/>
    <w:rsid w:val="00CB2714"/>
    <w:rsid w:val="00CB29AB"/>
    <w:rsid w:val="00CB2A95"/>
    <w:rsid w:val="00CB2B1F"/>
    <w:rsid w:val="00CB2B52"/>
    <w:rsid w:val="00CB2B8F"/>
    <w:rsid w:val="00CB2BEA"/>
    <w:rsid w:val="00CB2C31"/>
    <w:rsid w:val="00CB2D8B"/>
    <w:rsid w:val="00CB2D99"/>
    <w:rsid w:val="00CB32D4"/>
    <w:rsid w:val="00CB379D"/>
    <w:rsid w:val="00CB381F"/>
    <w:rsid w:val="00CB3829"/>
    <w:rsid w:val="00CB3A78"/>
    <w:rsid w:val="00CB3B60"/>
    <w:rsid w:val="00CB3C8C"/>
    <w:rsid w:val="00CB3CC2"/>
    <w:rsid w:val="00CB3D5D"/>
    <w:rsid w:val="00CB4011"/>
    <w:rsid w:val="00CB4177"/>
    <w:rsid w:val="00CB42BD"/>
    <w:rsid w:val="00CB443D"/>
    <w:rsid w:val="00CB44BB"/>
    <w:rsid w:val="00CB44C8"/>
    <w:rsid w:val="00CB46A3"/>
    <w:rsid w:val="00CB47C0"/>
    <w:rsid w:val="00CB48D3"/>
    <w:rsid w:val="00CB4981"/>
    <w:rsid w:val="00CB4B43"/>
    <w:rsid w:val="00CB4B7D"/>
    <w:rsid w:val="00CB4C58"/>
    <w:rsid w:val="00CB4F17"/>
    <w:rsid w:val="00CB5269"/>
    <w:rsid w:val="00CB5382"/>
    <w:rsid w:val="00CB549E"/>
    <w:rsid w:val="00CB553D"/>
    <w:rsid w:val="00CB55ED"/>
    <w:rsid w:val="00CB5660"/>
    <w:rsid w:val="00CB5729"/>
    <w:rsid w:val="00CB5944"/>
    <w:rsid w:val="00CB5991"/>
    <w:rsid w:val="00CB5A86"/>
    <w:rsid w:val="00CB5B2D"/>
    <w:rsid w:val="00CB5BFC"/>
    <w:rsid w:val="00CB5D17"/>
    <w:rsid w:val="00CB5F36"/>
    <w:rsid w:val="00CB600F"/>
    <w:rsid w:val="00CB61D5"/>
    <w:rsid w:val="00CB6318"/>
    <w:rsid w:val="00CB63D8"/>
    <w:rsid w:val="00CB65FD"/>
    <w:rsid w:val="00CB6882"/>
    <w:rsid w:val="00CB6B31"/>
    <w:rsid w:val="00CB6CC7"/>
    <w:rsid w:val="00CB6D2C"/>
    <w:rsid w:val="00CB6D5F"/>
    <w:rsid w:val="00CB6DE5"/>
    <w:rsid w:val="00CB6E44"/>
    <w:rsid w:val="00CB70FD"/>
    <w:rsid w:val="00CB719C"/>
    <w:rsid w:val="00CB73B1"/>
    <w:rsid w:val="00CB7499"/>
    <w:rsid w:val="00CB75DB"/>
    <w:rsid w:val="00CB7813"/>
    <w:rsid w:val="00CB792D"/>
    <w:rsid w:val="00CB7971"/>
    <w:rsid w:val="00CB7984"/>
    <w:rsid w:val="00CB7B9B"/>
    <w:rsid w:val="00CB7BC4"/>
    <w:rsid w:val="00CB7FB4"/>
    <w:rsid w:val="00CC0107"/>
    <w:rsid w:val="00CC01C7"/>
    <w:rsid w:val="00CC01F3"/>
    <w:rsid w:val="00CC0407"/>
    <w:rsid w:val="00CC0802"/>
    <w:rsid w:val="00CC0839"/>
    <w:rsid w:val="00CC0CE1"/>
    <w:rsid w:val="00CC0E95"/>
    <w:rsid w:val="00CC0ED6"/>
    <w:rsid w:val="00CC119A"/>
    <w:rsid w:val="00CC11C9"/>
    <w:rsid w:val="00CC12E2"/>
    <w:rsid w:val="00CC1473"/>
    <w:rsid w:val="00CC14B4"/>
    <w:rsid w:val="00CC165F"/>
    <w:rsid w:val="00CC16B1"/>
    <w:rsid w:val="00CC16C2"/>
    <w:rsid w:val="00CC1762"/>
    <w:rsid w:val="00CC1774"/>
    <w:rsid w:val="00CC1781"/>
    <w:rsid w:val="00CC1809"/>
    <w:rsid w:val="00CC1894"/>
    <w:rsid w:val="00CC19DC"/>
    <w:rsid w:val="00CC1A4A"/>
    <w:rsid w:val="00CC1A6A"/>
    <w:rsid w:val="00CC1B54"/>
    <w:rsid w:val="00CC1B76"/>
    <w:rsid w:val="00CC1C09"/>
    <w:rsid w:val="00CC1FD9"/>
    <w:rsid w:val="00CC20A1"/>
    <w:rsid w:val="00CC236E"/>
    <w:rsid w:val="00CC2431"/>
    <w:rsid w:val="00CC24FB"/>
    <w:rsid w:val="00CC2578"/>
    <w:rsid w:val="00CC26AD"/>
    <w:rsid w:val="00CC2814"/>
    <w:rsid w:val="00CC28B3"/>
    <w:rsid w:val="00CC2A32"/>
    <w:rsid w:val="00CC2AB8"/>
    <w:rsid w:val="00CC2B56"/>
    <w:rsid w:val="00CC2D38"/>
    <w:rsid w:val="00CC2E3C"/>
    <w:rsid w:val="00CC2E7B"/>
    <w:rsid w:val="00CC2F94"/>
    <w:rsid w:val="00CC3049"/>
    <w:rsid w:val="00CC319A"/>
    <w:rsid w:val="00CC3226"/>
    <w:rsid w:val="00CC366C"/>
    <w:rsid w:val="00CC3689"/>
    <w:rsid w:val="00CC369D"/>
    <w:rsid w:val="00CC396E"/>
    <w:rsid w:val="00CC3AF0"/>
    <w:rsid w:val="00CC3C1E"/>
    <w:rsid w:val="00CC3D04"/>
    <w:rsid w:val="00CC3D6F"/>
    <w:rsid w:val="00CC3DC1"/>
    <w:rsid w:val="00CC3E1B"/>
    <w:rsid w:val="00CC3E43"/>
    <w:rsid w:val="00CC3E9B"/>
    <w:rsid w:val="00CC3EB1"/>
    <w:rsid w:val="00CC3F68"/>
    <w:rsid w:val="00CC3FB0"/>
    <w:rsid w:val="00CC4001"/>
    <w:rsid w:val="00CC4065"/>
    <w:rsid w:val="00CC40BF"/>
    <w:rsid w:val="00CC41A0"/>
    <w:rsid w:val="00CC431E"/>
    <w:rsid w:val="00CC4338"/>
    <w:rsid w:val="00CC4491"/>
    <w:rsid w:val="00CC4613"/>
    <w:rsid w:val="00CC472D"/>
    <w:rsid w:val="00CC479C"/>
    <w:rsid w:val="00CC491B"/>
    <w:rsid w:val="00CC49E3"/>
    <w:rsid w:val="00CC4ADB"/>
    <w:rsid w:val="00CC4CF1"/>
    <w:rsid w:val="00CC4D7D"/>
    <w:rsid w:val="00CC4DCE"/>
    <w:rsid w:val="00CC4DE9"/>
    <w:rsid w:val="00CC4EC8"/>
    <w:rsid w:val="00CC5133"/>
    <w:rsid w:val="00CC51E3"/>
    <w:rsid w:val="00CC542F"/>
    <w:rsid w:val="00CC58A8"/>
    <w:rsid w:val="00CC5A82"/>
    <w:rsid w:val="00CC5F12"/>
    <w:rsid w:val="00CC5FE8"/>
    <w:rsid w:val="00CC6187"/>
    <w:rsid w:val="00CC6254"/>
    <w:rsid w:val="00CC6291"/>
    <w:rsid w:val="00CC632E"/>
    <w:rsid w:val="00CC6445"/>
    <w:rsid w:val="00CC65C0"/>
    <w:rsid w:val="00CC66E4"/>
    <w:rsid w:val="00CC69C4"/>
    <w:rsid w:val="00CC69F0"/>
    <w:rsid w:val="00CC6C00"/>
    <w:rsid w:val="00CC6D78"/>
    <w:rsid w:val="00CC71CB"/>
    <w:rsid w:val="00CC72D7"/>
    <w:rsid w:val="00CC7446"/>
    <w:rsid w:val="00CC7524"/>
    <w:rsid w:val="00CC75ED"/>
    <w:rsid w:val="00CC7620"/>
    <w:rsid w:val="00CC76E8"/>
    <w:rsid w:val="00CC77A2"/>
    <w:rsid w:val="00CC7933"/>
    <w:rsid w:val="00CC7BBE"/>
    <w:rsid w:val="00CC7C90"/>
    <w:rsid w:val="00CC7DF8"/>
    <w:rsid w:val="00CC7E7F"/>
    <w:rsid w:val="00CC7E9E"/>
    <w:rsid w:val="00CC7F28"/>
    <w:rsid w:val="00CC7FAC"/>
    <w:rsid w:val="00CD00BF"/>
    <w:rsid w:val="00CD00D3"/>
    <w:rsid w:val="00CD0147"/>
    <w:rsid w:val="00CD03B3"/>
    <w:rsid w:val="00CD0403"/>
    <w:rsid w:val="00CD0477"/>
    <w:rsid w:val="00CD0825"/>
    <w:rsid w:val="00CD0A08"/>
    <w:rsid w:val="00CD0A3E"/>
    <w:rsid w:val="00CD0ACE"/>
    <w:rsid w:val="00CD0B75"/>
    <w:rsid w:val="00CD0FE7"/>
    <w:rsid w:val="00CD12D9"/>
    <w:rsid w:val="00CD13DD"/>
    <w:rsid w:val="00CD13F0"/>
    <w:rsid w:val="00CD1592"/>
    <w:rsid w:val="00CD1A31"/>
    <w:rsid w:val="00CD1B7F"/>
    <w:rsid w:val="00CD1C29"/>
    <w:rsid w:val="00CD1DCC"/>
    <w:rsid w:val="00CD1E45"/>
    <w:rsid w:val="00CD206B"/>
    <w:rsid w:val="00CD20D2"/>
    <w:rsid w:val="00CD2329"/>
    <w:rsid w:val="00CD23B9"/>
    <w:rsid w:val="00CD255F"/>
    <w:rsid w:val="00CD2619"/>
    <w:rsid w:val="00CD2860"/>
    <w:rsid w:val="00CD2942"/>
    <w:rsid w:val="00CD2970"/>
    <w:rsid w:val="00CD2A61"/>
    <w:rsid w:val="00CD2C5B"/>
    <w:rsid w:val="00CD2DEB"/>
    <w:rsid w:val="00CD2DF5"/>
    <w:rsid w:val="00CD31BD"/>
    <w:rsid w:val="00CD332F"/>
    <w:rsid w:val="00CD33A8"/>
    <w:rsid w:val="00CD36B8"/>
    <w:rsid w:val="00CD3C32"/>
    <w:rsid w:val="00CD3E57"/>
    <w:rsid w:val="00CD40E2"/>
    <w:rsid w:val="00CD4133"/>
    <w:rsid w:val="00CD422F"/>
    <w:rsid w:val="00CD4260"/>
    <w:rsid w:val="00CD43D7"/>
    <w:rsid w:val="00CD43E4"/>
    <w:rsid w:val="00CD4756"/>
    <w:rsid w:val="00CD47D7"/>
    <w:rsid w:val="00CD4947"/>
    <w:rsid w:val="00CD4960"/>
    <w:rsid w:val="00CD4C17"/>
    <w:rsid w:val="00CD4CED"/>
    <w:rsid w:val="00CD4CFF"/>
    <w:rsid w:val="00CD4DF6"/>
    <w:rsid w:val="00CD4EE7"/>
    <w:rsid w:val="00CD4F44"/>
    <w:rsid w:val="00CD4FA2"/>
    <w:rsid w:val="00CD4FF4"/>
    <w:rsid w:val="00CD50E1"/>
    <w:rsid w:val="00CD524B"/>
    <w:rsid w:val="00CD52C1"/>
    <w:rsid w:val="00CD52CD"/>
    <w:rsid w:val="00CD5365"/>
    <w:rsid w:val="00CD5367"/>
    <w:rsid w:val="00CD54F8"/>
    <w:rsid w:val="00CD5672"/>
    <w:rsid w:val="00CD583E"/>
    <w:rsid w:val="00CD5900"/>
    <w:rsid w:val="00CD5968"/>
    <w:rsid w:val="00CD5A64"/>
    <w:rsid w:val="00CD5AF9"/>
    <w:rsid w:val="00CD5B2F"/>
    <w:rsid w:val="00CD5CA7"/>
    <w:rsid w:val="00CD5CF5"/>
    <w:rsid w:val="00CD5D9F"/>
    <w:rsid w:val="00CD5DC5"/>
    <w:rsid w:val="00CD5F41"/>
    <w:rsid w:val="00CD5F6C"/>
    <w:rsid w:val="00CD606C"/>
    <w:rsid w:val="00CD61F8"/>
    <w:rsid w:val="00CD66AC"/>
    <w:rsid w:val="00CD6AD6"/>
    <w:rsid w:val="00CD6AF6"/>
    <w:rsid w:val="00CD6AFD"/>
    <w:rsid w:val="00CD6B5A"/>
    <w:rsid w:val="00CD6D11"/>
    <w:rsid w:val="00CD6D9F"/>
    <w:rsid w:val="00CD6E08"/>
    <w:rsid w:val="00CD6E4B"/>
    <w:rsid w:val="00CD6F5E"/>
    <w:rsid w:val="00CD70B7"/>
    <w:rsid w:val="00CD7286"/>
    <w:rsid w:val="00CD737E"/>
    <w:rsid w:val="00CD7384"/>
    <w:rsid w:val="00CD7389"/>
    <w:rsid w:val="00CD747B"/>
    <w:rsid w:val="00CD7494"/>
    <w:rsid w:val="00CD7826"/>
    <w:rsid w:val="00CD783F"/>
    <w:rsid w:val="00CD7897"/>
    <w:rsid w:val="00CD7A83"/>
    <w:rsid w:val="00CD7B99"/>
    <w:rsid w:val="00CD7D31"/>
    <w:rsid w:val="00CD7E81"/>
    <w:rsid w:val="00CD7F13"/>
    <w:rsid w:val="00CE00D3"/>
    <w:rsid w:val="00CE01C9"/>
    <w:rsid w:val="00CE0201"/>
    <w:rsid w:val="00CE076A"/>
    <w:rsid w:val="00CE0966"/>
    <w:rsid w:val="00CE0989"/>
    <w:rsid w:val="00CE0A42"/>
    <w:rsid w:val="00CE0AE6"/>
    <w:rsid w:val="00CE0BE2"/>
    <w:rsid w:val="00CE0D67"/>
    <w:rsid w:val="00CE0DFE"/>
    <w:rsid w:val="00CE0F1F"/>
    <w:rsid w:val="00CE149C"/>
    <w:rsid w:val="00CE160D"/>
    <w:rsid w:val="00CE173F"/>
    <w:rsid w:val="00CE1767"/>
    <w:rsid w:val="00CE185C"/>
    <w:rsid w:val="00CE1942"/>
    <w:rsid w:val="00CE199A"/>
    <w:rsid w:val="00CE1B09"/>
    <w:rsid w:val="00CE1B41"/>
    <w:rsid w:val="00CE1C88"/>
    <w:rsid w:val="00CE1CC3"/>
    <w:rsid w:val="00CE1D99"/>
    <w:rsid w:val="00CE1F23"/>
    <w:rsid w:val="00CE1FD1"/>
    <w:rsid w:val="00CE21EB"/>
    <w:rsid w:val="00CE2254"/>
    <w:rsid w:val="00CE2288"/>
    <w:rsid w:val="00CE2342"/>
    <w:rsid w:val="00CE238D"/>
    <w:rsid w:val="00CE2396"/>
    <w:rsid w:val="00CE257B"/>
    <w:rsid w:val="00CE26D3"/>
    <w:rsid w:val="00CE26E9"/>
    <w:rsid w:val="00CE27C3"/>
    <w:rsid w:val="00CE28CB"/>
    <w:rsid w:val="00CE28FA"/>
    <w:rsid w:val="00CE2A35"/>
    <w:rsid w:val="00CE2A42"/>
    <w:rsid w:val="00CE2BDC"/>
    <w:rsid w:val="00CE2BED"/>
    <w:rsid w:val="00CE2C61"/>
    <w:rsid w:val="00CE3036"/>
    <w:rsid w:val="00CE315B"/>
    <w:rsid w:val="00CE3296"/>
    <w:rsid w:val="00CE3822"/>
    <w:rsid w:val="00CE38B1"/>
    <w:rsid w:val="00CE393D"/>
    <w:rsid w:val="00CE3B01"/>
    <w:rsid w:val="00CE3BD0"/>
    <w:rsid w:val="00CE3D81"/>
    <w:rsid w:val="00CE3DD1"/>
    <w:rsid w:val="00CE3F0F"/>
    <w:rsid w:val="00CE3FCF"/>
    <w:rsid w:val="00CE436F"/>
    <w:rsid w:val="00CE4376"/>
    <w:rsid w:val="00CE445E"/>
    <w:rsid w:val="00CE4485"/>
    <w:rsid w:val="00CE44EF"/>
    <w:rsid w:val="00CE45AD"/>
    <w:rsid w:val="00CE46B6"/>
    <w:rsid w:val="00CE475C"/>
    <w:rsid w:val="00CE48AC"/>
    <w:rsid w:val="00CE4B8C"/>
    <w:rsid w:val="00CE4BA7"/>
    <w:rsid w:val="00CE4C6F"/>
    <w:rsid w:val="00CE4DEE"/>
    <w:rsid w:val="00CE51E7"/>
    <w:rsid w:val="00CE545D"/>
    <w:rsid w:val="00CE5585"/>
    <w:rsid w:val="00CE58D8"/>
    <w:rsid w:val="00CE59E6"/>
    <w:rsid w:val="00CE5B1F"/>
    <w:rsid w:val="00CE5CA0"/>
    <w:rsid w:val="00CE5ED2"/>
    <w:rsid w:val="00CE5EDD"/>
    <w:rsid w:val="00CE6004"/>
    <w:rsid w:val="00CE601B"/>
    <w:rsid w:val="00CE60DF"/>
    <w:rsid w:val="00CE6245"/>
    <w:rsid w:val="00CE6474"/>
    <w:rsid w:val="00CE649B"/>
    <w:rsid w:val="00CE64F0"/>
    <w:rsid w:val="00CE665B"/>
    <w:rsid w:val="00CE6834"/>
    <w:rsid w:val="00CE694D"/>
    <w:rsid w:val="00CE6A66"/>
    <w:rsid w:val="00CE6BCB"/>
    <w:rsid w:val="00CE6BFF"/>
    <w:rsid w:val="00CE6C25"/>
    <w:rsid w:val="00CE6CCD"/>
    <w:rsid w:val="00CE6D2D"/>
    <w:rsid w:val="00CE6D8B"/>
    <w:rsid w:val="00CE6E73"/>
    <w:rsid w:val="00CE6FAC"/>
    <w:rsid w:val="00CE7043"/>
    <w:rsid w:val="00CE7114"/>
    <w:rsid w:val="00CE712B"/>
    <w:rsid w:val="00CE7192"/>
    <w:rsid w:val="00CE729B"/>
    <w:rsid w:val="00CE74BA"/>
    <w:rsid w:val="00CE7678"/>
    <w:rsid w:val="00CE779D"/>
    <w:rsid w:val="00CE7960"/>
    <w:rsid w:val="00CE7A20"/>
    <w:rsid w:val="00CE7B33"/>
    <w:rsid w:val="00CE7B5A"/>
    <w:rsid w:val="00CE7C11"/>
    <w:rsid w:val="00CE7C16"/>
    <w:rsid w:val="00CE7D9E"/>
    <w:rsid w:val="00CF01AF"/>
    <w:rsid w:val="00CF0231"/>
    <w:rsid w:val="00CF045C"/>
    <w:rsid w:val="00CF0498"/>
    <w:rsid w:val="00CF057F"/>
    <w:rsid w:val="00CF0582"/>
    <w:rsid w:val="00CF05DD"/>
    <w:rsid w:val="00CF0729"/>
    <w:rsid w:val="00CF0755"/>
    <w:rsid w:val="00CF0784"/>
    <w:rsid w:val="00CF097A"/>
    <w:rsid w:val="00CF0A47"/>
    <w:rsid w:val="00CF0AFE"/>
    <w:rsid w:val="00CF0D74"/>
    <w:rsid w:val="00CF0DB2"/>
    <w:rsid w:val="00CF0FF5"/>
    <w:rsid w:val="00CF1057"/>
    <w:rsid w:val="00CF141F"/>
    <w:rsid w:val="00CF142B"/>
    <w:rsid w:val="00CF143E"/>
    <w:rsid w:val="00CF1457"/>
    <w:rsid w:val="00CF1495"/>
    <w:rsid w:val="00CF16B6"/>
    <w:rsid w:val="00CF1990"/>
    <w:rsid w:val="00CF1CDB"/>
    <w:rsid w:val="00CF1E9A"/>
    <w:rsid w:val="00CF1F3E"/>
    <w:rsid w:val="00CF1F50"/>
    <w:rsid w:val="00CF1F90"/>
    <w:rsid w:val="00CF206C"/>
    <w:rsid w:val="00CF2221"/>
    <w:rsid w:val="00CF2274"/>
    <w:rsid w:val="00CF227A"/>
    <w:rsid w:val="00CF228E"/>
    <w:rsid w:val="00CF24FB"/>
    <w:rsid w:val="00CF2648"/>
    <w:rsid w:val="00CF2708"/>
    <w:rsid w:val="00CF272A"/>
    <w:rsid w:val="00CF28B5"/>
    <w:rsid w:val="00CF28F2"/>
    <w:rsid w:val="00CF2922"/>
    <w:rsid w:val="00CF2A33"/>
    <w:rsid w:val="00CF2B6B"/>
    <w:rsid w:val="00CF2C07"/>
    <w:rsid w:val="00CF2E05"/>
    <w:rsid w:val="00CF2E53"/>
    <w:rsid w:val="00CF2E7A"/>
    <w:rsid w:val="00CF31AF"/>
    <w:rsid w:val="00CF3303"/>
    <w:rsid w:val="00CF33C5"/>
    <w:rsid w:val="00CF357A"/>
    <w:rsid w:val="00CF3687"/>
    <w:rsid w:val="00CF38E2"/>
    <w:rsid w:val="00CF394C"/>
    <w:rsid w:val="00CF3ABD"/>
    <w:rsid w:val="00CF3EB9"/>
    <w:rsid w:val="00CF400F"/>
    <w:rsid w:val="00CF4025"/>
    <w:rsid w:val="00CF4303"/>
    <w:rsid w:val="00CF4304"/>
    <w:rsid w:val="00CF436E"/>
    <w:rsid w:val="00CF4419"/>
    <w:rsid w:val="00CF45BD"/>
    <w:rsid w:val="00CF46E5"/>
    <w:rsid w:val="00CF46FD"/>
    <w:rsid w:val="00CF47FC"/>
    <w:rsid w:val="00CF482A"/>
    <w:rsid w:val="00CF484B"/>
    <w:rsid w:val="00CF4B7B"/>
    <w:rsid w:val="00CF4C5D"/>
    <w:rsid w:val="00CF4CE8"/>
    <w:rsid w:val="00CF4CFA"/>
    <w:rsid w:val="00CF4D13"/>
    <w:rsid w:val="00CF4D1E"/>
    <w:rsid w:val="00CF4F01"/>
    <w:rsid w:val="00CF4F1C"/>
    <w:rsid w:val="00CF527F"/>
    <w:rsid w:val="00CF52E7"/>
    <w:rsid w:val="00CF5387"/>
    <w:rsid w:val="00CF5405"/>
    <w:rsid w:val="00CF556C"/>
    <w:rsid w:val="00CF56F4"/>
    <w:rsid w:val="00CF577F"/>
    <w:rsid w:val="00CF58CC"/>
    <w:rsid w:val="00CF59FB"/>
    <w:rsid w:val="00CF5B95"/>
    <w:rsid w:val="00CF5C98"/>
    <w:rsid w:val="00CF5CBF"/>
    <w:rsid w:val="00CF5D25"/>
    <w:rsid w:val="00CF5F0B"/>
    <w:rsid w:val="00CF605F"/>
    <w:rsid w:val="00CF613B"/>
    <w:rsid w:val="00CF66D8"/>
    <w:rsid w:val="00CF68F5"/>
    <w:rsid w:val="00CF69B5"/>
    <w:rsid w:val="00CF6C55"/>
    <w:rsid w:val="00CF6D23"/>
    <w:rsid w:val="00CF6D27"/>
    <w:rsid w:val="00CF6DB8"/>
    <w:rsid w:val="00CF6E35"/>
    <w:rsid w:val="00CF6F70"/>
    <w:rsid w:val="00CF7005"/>
    <w:rsid w:val="00CF7021"/>
    <w:rsid w:val="00CF706C"/>
    <w:rsid w:val="00CF709A"/>
    <w:rsid w:val="00CF711B"/>
    <w:rsid w:val="00CF7201"/>
    <w:rsid w:val="00CF72B9"/>
    <w:rsid w:val="00CF76AC"/>
    <w:rsid w:val="00CF79AC"/>
    <w:rsid w:val="00CF7A2C"/>
    <w:rsid w:val="00CF7D58"/>
    <w:rsid w:val="00CF7D73"/>
    <w:rsid w:val="00CF7D9D"/>
    <w:rsid w:val="00CF7F95"/>
    <w:rsid w:val="00D000C0"/>
    <w:rsid w:val="00D000D7"/>
    <w:rsid w:val="00D001C8"/>
    <w:rsid w:val="00D002AA"/>
    <w:rsid w:val="00D003AF"/>
    <w:rsid w:val="00D0051E"/>
    <w:rsid w:val="00D00544"/>
    <w:rsid w:val="00D00831"/>
    <w:rsid w:val="00D008BF"/>
    <w:rsid w:val="00D0092F"/>
    <w:rsid w:val="00D00A03"/>
    <w:rsid w:val="00D00BE1"/>
    <w:rsid w:val="00D00D34"/>
    <w:rsid w:val="00D00D87"/>
    <w:rsid w:val="00D01157"/>
    <w:rsid w:val="00D01390"/>
    <w:rsid w:val="00D013FF"/>
    <w:rsid w:val="00D015E8"/>
    <w:rsid w:val="00D01675"/>
    <w:rsid w:val="00D018A8"/>
    <w:rsid w:val="00D018B6"/>
    <w:rsid w:val="00D018EF"/>
    <w:rsid w:val="00D01B11"/>
    <w:rsid w:val="00D01B13"/>
    <w:rsid w:val="00D01B29"/>
    <w:rsid w:val="00D01BC1"/>
    <w:rsid w:val="00D01CFC"/>
    <w:rsid w:val="00D01DE4"/>
    <w:rsid w:val="00D01F71"/>
    <w:rsid w:val="00D01F8F"/>
    <w:rsid w:val="00D0209D"/>
    <w:rsid w:val="00D02260"/>
    <w:rsid w:val="00D023C4"/>
    <w:rsid w:val="00D02572"/>
    <w:rsid w:val="00D0269A"/>
    <w:rsid w:val="00D026D1"/>
    <w:rsid w:val="00D027F5"/>
    <w:rsid w:val="00D0284A"/>
    <w:rsid w:val="00D0289A"/>
    <w:rsid w:val="00D029C9"/>
    <w:rsid w:val="00D02BE5"/>
    <w:rsid w:val="00D02C55"/>
    <w:rsid w:val="00D02DA6"/>
    <w:rsid w:val="00D02DDA"/>
    <w:rsid w:val="00D031AE"/>
    <w:rsid w:val="00D031DB"/>
    <w:rsid w:val="00D031E6"/>
    <w:rsid w:val="00D038C4"/>
    <w:rsid w:val="00D039AC"/>
    <w:rsid w:val="00D03A68"/>
    <w:rsid w:val="00D03A6B"/>
    <w:rsid w:val="00D03DA3"/>
    <w:rsid w:val="00D041F6"/>
    <w:rsid w:val="00D04407"/>
    <w:rsid w:val="00D044AB"/>
    <w:rsid w:val="00D04532"/>
    <w:rsid w:val="00D0453B"/>
    <w:rsid w:val="00D04570"/>
    <w:rsid w:val="00D04824"/>
    <w:rsid w:val="00D04946"/>
    <w:rsid w:val="00D04B33"/>
    <w:rsid w:val="00D04C8D"/>
    <w:rsid w:val="00D04D09"/>
    <w:rsid w:val="00D04DB0"/>
    <w:rsid w:val="00D04FDE"/>
    <w:rsid w:val="00D05259"/>
    <w:rsid w:val="00D0548D"/>
    <w:rsid w:val="00D05497"/>
    <w:rsid w:val="00D055B9"/>
    <w:rsid w:val="00D057B7"/>
    <w:rsid w:val="00D05922"/>
    <w:rsid w:val="00D059C0"/>
    <w:rsid w:val="00D05D26"/>
    <w:rsid w:val="00D060E6"/>
    <w:rsid w:val="00D0634E"/>
    <w:rsid w:val="00D06375"/>
    <w:rsid w:val="00D06515"/>
    <w:rsid w:val="00D0664F"/>
    <w:rsid w:val="00D0685E"/>
    <w:rsid w:val="00D069C4"/>
    <w:rsid w:val="00D06A1E"/>
    <w:rsid w:val="00D06DE8"/>
    <w:rsid w:val="00D07385"/>
    <w:rsid w:val="00D07414"/>
    <w:rsid w:val="00D074C5"/>
    <w:rsid w:val="00D07609"/>
    <w:rsid w:val="00D07643"/>
    <w:rsid w:val="00D07719"/>
    <w:rsid w:val="00D07928"/>
    <w:rsid w:val="00D0798D"/>
    <w:rsid w:val="00D079F9"/>
    <w:rsid w:val="00D07AD5"/>
    <w:rsid w:val="00D07B70"/>
    <w:rsid w:val="00D07BC5"/>
    <w:rsid w:val="00D07C2F"/>
    <w:rsid w:val="00D07D94"/>
    <w:rsid w:val="00D07DD2"/>
    <w:rsid w:val="00D07EB9"/>
    <w:rsid w:val="00D07F66"/>
    <w:rsid w:val="00D10060"/>
    <w:rsid w:val="00D10211"/>
    <w:rsid w:val="00D10416"/>
    <w:rsid w:val="00D1045E"/>
    <w:rsid w:val="00D10773"/>
    <w:rsid w:val="00D1083E"/>
    <w:rsid w:val="00D10B5B"/>
    <w:rsid w:val="00D10F54"/>
    <w:rsid w:val="00D10F7A"/>
    <w:rsid w:val="00D110BD"/>
    <w:rsid w:val="00D11142"/>
    <w:rsid w:val="00D11603"/>
    <w:rsid w:val="00D116F6"/>
    <w:rsid w:val="00D11719"/>
    <w:rsid w:val="00D11AAC"/>
    <w:rsid w:val="00D11E1D"/>
    <w:rsid w:val="00D11F52"/>
    <w:rsid w:val="00D11F5E"/>
    <w:rsid w:val="00D12207"/>
    <w:rsid w:val="00D12365"/>
    <w:rsid w:val="00D1243D"/>
    <w:rsid w:val="00D12660"/>
    <w:rsid w:val="00D126D8"/>
    <w:rsid w:val="00D127D5"/>
    <w:rsid w:val="00D12844"/>
    <w:rsid w:val="00D129D5"/>
    <w:rsid w:val="00D12B31"/>
    <w:rsid w:val="00D12BAB"/>
    <w:rsid w:val="00D12BB2"/>
    <w:rsid w:val="00D12C31"/>
    <w:rsid w:val="00D12DE3"/>
    <w:rsid w:val="00D12E09"/>
    <w:rsid w:val="00D12E17"/>
    <w:rsid w:val="00D12EA1"/>
    <w:rsid w:val="00D12EEE"/>
    <w:rsid w:val="00D12F00"/>
    <w:rsid w:val="00D12F3E"/>
    <w:rsid w:val="00D12F8F"/>
    <w:rsid w:val="00D1301D"/>
    <w:rsid w:val="00D13280"/>
    <w:rsid w:val="00D132DD"/>
    <w:rsid w:val="00D1335E"/>
    <w:rsid w:val="00D1338D"/>
    <w:rsid w:val="00D13503"/>
    <w:rsid w:val="00D135DC"/>
    <w:rsid w:val="00D138B1"/>
    <w:rsid w:val="00D1394E"/>
    <w:rsid w:val="00D139FE"/>
    <w:rsid w:val="00D13D82"/>
    <w:rsid w:val="00D13E5D"/>
    <w:rsid w:val="00D13F21"/>
    <w:rsid w:val="00D14060"/>
    <w:rsid w:val="00D1412E"/>
    <w:rsid w:val="00D1414B"/>
    <w:rsid w:val="00D14246"/>
    <w:rsid w:val="00D14A3F"/>
    <w:rsid w:val="00D14B72"/>
    <w:rsid w:val="00D14BCD"/>
    <w:rsid w:val="00D14BDC"/>
    <w:rsid w:val="00D14D49"/>
    <w:rsid w:val="00D14F4F"/>
    <w:rsid w:val="00D14F6A"/>
    <w:rsid w:val="00D14FBE"/>
    <w:rsid w:val="00D152BC"/>
    <w:rsid w:val="00D15422"/>
    <w:rsid w:val="00D154A5"/>
    <w:rsid w:val="00D156FC"/>
    <w:rsid w:val="00D1580D"/>
    <w:rsid w:val="00D15818"/>
    <w:rsid w:val="00D15905"/>
    <w:rsid w:val="00D1590E"/>
    <w:rsid w:val="00D159A7"/>
    <w:rsid w:val="00D15A09"/>
    <w:rsid w:val="00D15A4B"/>
    <w:rsid w:val="00D15AF0"/>
    <w:rsid w:val="00D15D05"/>
    <w:rsid w:val="00D15DCE"/>
    <w:rsid w:val="00D15F38"/>
    <w:rsid w:val="00D16138"/>
    <w:rsid w:val="00D161AA"/>
    <w:rsid w:val="00D163C2"/>
    <w:rsid w:val="00D16463"/>
    <w:rsid w:val="00D164EB"/>
    <w:rsid w:val="00D164FA"/>
    <w:rsid w:val="00D165D3"/>
    <w:rsid w:val="00D16608"/>
    <w:rsid w:val="00D1685A"/>
    <w:rsid w:val="00D1696C"/>
    <w:rsid w:val="00D16A05"/>
    <w:rsid w:val="00D16A8C"/>
    <w:rsid w:val="00D16B38"/>
    <w:rsid w:val="00D16B5B"/>
    <w:rsid w:val="00D16D91"/>
    <w:rsid w:val="00D16E25"/>
    <w:rsid w:val="00D16E76"/>
    <w:rsid w:val="00D16F49"/>
    <w:rsid w:val="00D16F6A"/>
    <w:rsid w:val="00D16FA9"/>
    <w:rsid w:val="00D170ED"/>
    <w:rsid w:val="00D170F2"/>
    <w:rsid w:val="00D1721C"/>
    <w:rsid w:val="00D1728A"/>
    <w:rsid w:val="00D17305"/>
    <w:rsid w:val="00D17348"/>
    <w:rsid w:val="00D173B2"/>
    <w:rsid w:val="00D174AE"/>
    <w:rsid w:val="00D175F7"/>
    <w:rsid w:val="00D176BF"/>
    <w:rsid w:val="00D17B9B"/>
    <w:rsid w:val="00D20103"/>
    <w:rsid w:val="00D20152"/>
    <w:rsid w:val="00D20222"/>
    <w:rsid w:val="00D20278"/>
    <w:rsid w:val="00D20327"/>
    <w:rsid w:val="00D20332"/>
    <w:rsid w:val="00D204DA"/>
    <w:rsid w:val="00D20555"/>
    <w:rsid w:val="00D205B3"/>
    <w:rsid w:val="00D20678"/>
    <w:rsid w:val="00D20B5A"/>
    <w:rsid w:val="00D20CA1"/>
    <w:rsid w:val="00D20F41"/>
    <w:rsid w:val="00D210A0"/>
    <w:rsid w:val="00D21175"/>
    <w:rsid w:val="00D213AD"/>
    <w:rsid w:val="00D21455"/>
    <w:rsid w:val="00D214C7"/>
    <w:rsid w:val="00D21574"/>
    <w:rsid w:val="00D2159F"/>
    <w:rsid w:val="00D216D6"/>
    <w:rsid w:val="00D21730"/>
    <w:rsid w:val="00D2187C"/>
    <w:rsid w:val="00D21915"/>
    <w:rsid w:val="00D21945"/>
    <w:rsid w:val="00D21BDC"/>
    <w:rsid w:val="00D21C20"/>
    <w:rsid w:val="00D21DD5"/>
    <w:rsid w:val="00D21EBB"/>
    <w:rsid w:val="00D22392"/>
    <w:rsid w:val="00D22493"/>
    <w:rsid w:val="00D22528"/>
    <w:rsid w:val="00D2267D"/>
    <w:rsid w:val="00D2287A"/>
    <w:rsid w:val="00D228A4"/>
    <w:rsid w:val="00D228EE"/>
    <w:rsid w:val="00D22D0D"/>
    <w:rsid w:val="00D22DBF"/>
    <w:rsid w:val="00D22E5B"/>
    <w:rsid w:val="00D22E9D"/>
    <w:rsid w:val="00D22EE8"/>
    <w:rsid w:val="00D22F07"/>
    <w:rsid w:val="00D22FF1"/>
    <w:rsid w:val="00D231BF"/>
    <w:rsid w:val="00D2327A"/>
    <w:rsid w:val="00D2351E"/>
    <w:rsid w:val="00D236FF"/>
    <w:rsid w:val="00D239FC"/>
    <w:rsid w:val="00D23A6E"/>
    <w:rsid w:val="00D23A88"/>
    <w:rsid w:val="00D23A94"/>
    <w:rsid w:val="00D23BDD"/>
    <w:rsid w:val="00D241D3"/>
    <w:rsid w:val="00D2435C"/>
    <w:rsid w:val="00D243AC"/>
    <w:rsid w:val="00D24639"/>
    <w:rsid w:val="00D24755"/>
    <w:rsid w:val="00D24826"/>
    <w:rsid w:val="00D24BE6"/>
    <w:rsid w:val="00D24CA2"/>
    <w:rsid w:val="00D24ECA"/>
    <w:rsid w:val="00D24F1B"/>
    <w:rsid w:val="00D24F4D"/>
    <w:rsid w:val="00D250CF"/>
    <w:rsid w:val="00D25209"/>
    <w:rsid w:val="00D252C1"/>
    <w:rsid w:val="00D2530F"/>
    <w:rsid w:val="00D2531C"/>
    <w:rsid w:val="00D253AA"/>
    <w:rsid w:val="00D2544D"/>
    <w:rsid w:val="00D25481"/>
    <w:rsid w:val="00D25617"/>
    <w:rsid w:val="00D25835"/>
    <w:rsid w:val="00D25854"/>
    <w:rsid w:val="00D25965"/>
    <w:rsid w:val="00D259C6"/>
    <w:rsid w:val="00D25AF3"/>
    <w:rsid w:val="00D25B32"/>
    <w:rsid w:val="00D25B3D"/>
    <w:rsid w:val="00D25B46"/>
    <w:rsid w:val="00D25CC5"/>
    <w:rsid w:val="00D25CC6"/>
    <w:rsid w:val="00D25E47"/>
    <w:rsid w:val="00D25FCC"/>
    <w:rsid w:val="00D2600F"/>
    <w:rsid w:val="00D26056"/>
    <w:rsid w:val="00D2614F"/>
    <w:rsid w:val="00D26374"/>
    <w:rsid w:val="00D263FA"/>
    <w:rsid w:val="00D26934"/>
    <w:rsid w:val="00D269ED"/>
    <w:rsid w:val="00D26A1B"/>
    <w:rsid w:val="00D26A5F"/>
    <w:rsid w:val="00D26A73"/>
    <w:rsid w:val="00D26E1F"/>
    <w:rsid w:val="00D27051"/>
    <w:rsid w:val="00D274ED"/>
    <w:rsid w:val="00D27655"/>
    <w:rsid w:val="00D276AA"/>
    <w:rsid w:val="00D276B1"/>
    <w:rsid w:val="00D278FA"/>
    <w:rsid w:val="00D27D80"/>
    <w:rsid w:val="00D27E50"/>
    <w:rsid w:val="00D27E62"/>
    <w:rsid w:val="00D27FC2"/>
    <w:rsid w:val="00D301D1"/>
    <w:rsid w:val="00D30279"/>
    <w:rsid w:val="00D3059A"/>
    <w:rsid w:val="00D30649"/>
    <w:rsid w:val="00D30829"/>
    <w:rsid w:val="00D308B7"/>
    <w:rsid w:val="00D309A0"/>
    <w:rsid w:val="00D30A80"/>
    <w:rsid w:val="00D30AB9"/>
    <w:rsid w:val="00D30B88"/>
    <w:rsid w:val="00D30CD9"/>
    <w:rsid w:val="00D30DB6"/>
    <w:rsid w:val="00D30EFC"/>
    <w:rsid w:val="00D31022"/>
    <w:rsid w:val="00D31086"/>
    <w:rsid w:val="00D3115A"/>
    <w:rsid w:val="00D31218"/>
    <w:rsid w:val="00D312CC"/>
    <w:rsid w:val="00D3176A"/>
    <w:rsid w:val="00D317B0"/>
    <w:rsid w:val="00D31802"/>
    <w:rsid w:val="00D3198C"/>
    <w:rsid w:val="00D31B49"/>
    <w:rsid w:val="00D31C3B"/>
    <w:rsid w:val="00D31CCC"/>
    <w:rsid w:val="00D31D0E"/>
    <w:rsid w:val="00D31D7F"/>
    <w:rsid w:val="00D31F39"/>
    <w:rsid w:val="00D32036"/>
    <w:rsid w:val="00D3207B"/>
    <w:rsid w:val="00D322EF"/>
    <w:rsid w:val="00D323A8"/>
    <w:rsid w:val="00D323AB"/>
    <w:rsid w:val="00D324B6"/>
    <w:rsid w:val="00D326AF"/>
    <w:rsid w:val="00D328B5"/>
    <w:rsid w:val="00D3291F"/>
    <w:rsid w:val="00D32A30"/>
    <w:rsid w:val="00D32A82"/>
    <w:rsid w:val="00D32AA9"/>
    <w:rsid w:val="00D32B79"/>
    <w:rsid w:val="00D32C5F"/>
    <w:rsid w:val="00D32C9A"/>
    <w:rsid w:val="00D32ED8"/>
    <w:rsid w:val="00D32F36"/>
    <w:rsid w:val="00D32F4F"/>
    <w:rsid w:val="00D33209"/>
    <w:rsid w:val="00D3336B"/>
    <w:rsid w:val="00D3346B"/>
    <w:rsid w:val="00D33543"/>
    <w:rsid w:val="00D335A7"/>
    <w:rsid w:val="00D335B4"/>
    <w:rsid w:val="00D336B1"/>
    <w:rsid w:val="00D336C0"/>
    <w:rsid w:val="00D336CE"/>
    <w:rsid w:val="00D336E7"/>
    <w:rsid w:val="00D337D8"/>
    <w:rsid w:val="00D3381C"/>
    <w:rsid w:val="00D33994"/>
    <w:rsid w:val="00D339C7"/>
    <w:rsid w:val="00D33AA0"/>
    <w:rsid w:val="00D33B59"/>
    <w:rsid w:val="00D33B9D"/>
    <w:rsid w:val="00D33BFC"/>
    <w:rsid w:val="00D33FA7"/>
    <w:rsid w:val="00D33FB1"/>
    <w:rsid w:val="00D3402A"/>
    <w:rsid w:val="00D340BC"/>
    <w:rsid w:val="00D34195"/>
    <w:rsid w:val="00D3427B"/>
    <w:rsid w:val="00D34361"/>
    <w:rsid w:val="00D343B8"/>
    <w:rsid w:val="00D34400"/>
    <w:rsid w:val="00D3441C"/>
    <w:rsid w:val="00D344B7"/>
    <w:rsid w:val="00D346AC"/>
    <w:rsid w:val="00D34763"/>
    <w:rsid w:val="00D34821"/>
    <w:rsid w:val="00D34961"/>
    <w:rsid w:val="00D34963"/>
    <w:rsid w:val="00D34A44"/>
    <w:rsid w:val="00D34B00"/>
    <w:rsid w:val="00D34D64"/>
    <w:rsid w:val="00D35176"/>
    <w:rsid w:val="00D351F5"/>
    <w:rsid w:val="00D3541D"/>
    <w:rsid w:val="00D3557A"/>
    <w:rsid w:val="00D359B1"/>
    <w:rsid w:val="00D35A6A"/>
    <w:rsid w:val="00D35BE2"/>
    <w:rsid w:val="00D35C50"/>
    <w:rsid w:val="00D35C81"/>
    <w:rsid w:val="00D35E33"/>
    <w:rsid w:val="00D35F5C"/>
    <w:rsid w:val="00D35F8E"/>
    <w:rsid w:val="00D362E4"/>
    <w:rsid w:val="00D362F2"/>
    <w:rsid w:val="00D3637B"/>
    <w:rsid w:val="00D36736"/>
    <w:rsid w:val="00D3683C"/>
    <w:rsid w:val="00D3688D"/>
    <w:rsid w:val="00D369BD"/>
    <w:rsid w:val="00D36BDA"/>
    <w:rsid w:val="00D36D3D"/>
    <w:rsid w:val="00D36DB2"/>
    <w:rsid w:val="00D36DC7"/>
    <w:rsid w:val="00D36F11"/>
    <w:rsid w:val="00D36FB1"/>
    <w:rsid w:val="00D37034"/>
    <w:rsid w:val="00D3722D"/>
    <w:rsid w:val="00D374A2"/>
    <w:rsid w:val="00D37571"/>
    <w:rsid w:val="00D37801"/>
    <w:rsid w:val="00D378F8"/>
    <w:rsid w:val="00D37AED"/>
    <w:rsid w:val="00D37B44"/>
    <w:rsid w:val="00D37B60"/>
    <w:rsid w:val="00D37B74"/>
    <w:rsid w:val="00D37CFF"/>
    <w:rsid w:val="00D37F00"/>
    <w:rsid w:val="00D37F13"/>
    <w:rsid w:val="00D401C9"/>
    <w:rsid w:val="00D40248"/>
    <w:rsid w:val="00D40327"/>
    <w:rsid w:val="00D40393"/>
    <w:rsid w:val="00D404FC"/>
    <w:rsid w:val="00D40913"/>
    <w:rsid w:val="00D40996"/>
    <w:rsid w:val="00D40BCB"/>
    <w:rsid w:val="00D40EEA"/>
    <w:rsid w:val="00D40FD9"/>
    <w:rsid w:val="00D40FE1"/>
    <w:rsid w:val="00D410CB"/>
    <w:rsid w:val="00D41396"/>
    <w:rsid w:val="00D414F7"/>
    <w:rsid w:val="00D41528"/>
    <w:rsid w:val="00D41633"/>
    <w:rsid w:val="00D417BE"/>
    <w:rsid w:val="00D41CE3"/>
    <w:rsid w:val="00D41DC4"/>
    <w:rsid w:val="00D41E33"/>
    <w:rsid w:val="00D41E51"/>
    <w:rsid w:val="00D41F01"/>
    <w:rsid w:val="00D41FA1"/>
    <w:rsid w:val="00D421BA"/>
    <w:rsid w:val="00D42241"/>
    <w:rsid w:val="00D4224A"/>
    <w:rsid w:val="00D422DE"/>
    <w:rsid w:val="00D42514"/>
    <w:rsid w:val="00D42533"/>
    <w:rsid w:val="00D42541"/>
    <w:rsid w:val="00D42899"/>
    <w:rsid w:val="00D42933"/>
    <w:rsid w:val="00D429E9"/>
    <w:rsid w:val="00D42F20"/>
    <w:rsid w:val="00D42F3B"/>
    <w:rsid w:val="00D431E3"/>
    <w:rsid w:val="00D431FF"/>
    <w:rsid w:val="00D43309"/>
    <w:rsid w:val="00D43361"/>
    <w:rsid w:val="00D434F4"/>
    <w:rsid w:val="00D435EE"/>
    <w:rsid w:val="00D43613"/>
    <w:rsid w:val="00D43699"/>
    <w:rsid w:val="00D43813"/>
    <w:rsid w:val="00D438DA"/>
    <w:rsid w:val="00D43AFE"/>
    <w:rsid w:val="00D43D8B"/>
    <w:rsid w:val="00D43E01"/>
    <w:rsid w:val="00D43E7D"/>
    <w:rsid w:val="00D43F1E"/>
    <w:rsid w:val="00D43FCB"/>
    <w:rsid w:val="00D441B5"/>
    <w:rsid w:val="00D441BA"/>
    <w:rsid w:val="00D441BB"/>
    <w:rsid w:val="00D4433D"/>
    <w:rsid w:val="00D443B9"/>
    <w:rsid w:val="00D44645"/>
    <w:rsid w:val="00D44820"/>
    <w:rsid w:val="00D44989"/>
    <w:rsid w:val="00D44A1D"/>
    <w:rsid w:val="00D44E34"/>
    <w:rsid w:val="00D44E3B"/>
    <w:rsid w:val="00D44F7A"/>
    <w:rsid w:val="00D45005"/>
    <w:rsid w:val="00D452BD"/>
    <w:rsid w:val="00D453B6"/>
    <w:rsid w:val="00D454CF"/>
    <w:rsid w:val="00D45726"/>
    <w:rsid w:val="00D457EA"/>
    <w:rsid w:val="00D45A5C"/>
    <w:rsid w:val="00D45DBD"/>
    <w:rsid w:val="00D45DD5"/>
    <w:rsid w:val="00D45E01"/>
    <w:rsid w:val="00D46188"/>
    <w:rsid w:val="00D4645B"/>
    <w:rsid w:val="00D464DA"/>
    <w:rsid w:val="00D46529"/>
    <w:rsid w:val="00D46572"/>
    <w:rsid w:val="00D465EC"/>
    <w:rsid w:val="00D46636"/>
    <w:rsid w:val="00D4689C"/>
    <w:rsid w:val="00D468B3"/>
    <w:rsid w:val="00D46B2E"/>
    <w:rsid w:val="00D46B4B"/>
    <w:rsid w:val="00D46C6D"/>
    <w:rsid w:val="00D46D8E"/>
    <w:rsid w:val="00D46DD8"/>
    <w:rsid w:val="00D46DDD"/>
    <w:rsid w:val="00D46F0D"/>
    <w:rsid w:val="00D470A7"/>
    <w:rsid w:val="00D47176"/>
    <w:rsid w:val="00D4721E"/>
    <w:rsid w:val="00D4745E"/>
    <w:rsid w:val="00D47657"/>
    <w:rsid w:val="00D476E7"/>
    <w:rsid w:val="00D4771E"/>
    <w:rsid w:val="00D478B7"/>
    <w:rsid w:val="00D47ABE"/>
    <w:rsid w:val="00D47B07"/>
    <w:rsid w:val="00D47B24"/>
    <w:rsid w:val="00D47B43"/>
    <w:rsid w:val="00D47C0D"/>
    <w:rsid w:val="00D47C17"/>
    <w:rsid w:val="00D47C92"/>
    <w:rsid w:val="00D47D5B"/>
    <w:rsid w:val="00D47DB2"/>
    <w:rsid w:val="00D47E89"/>
    <w:rsid w:val="00D47FBF"/>
    <w:rsid w:val="00D5002F"/>
    <w:rsid w:val="00D50127"/>
    <w:rsid w:val="00D50221"/>
    <w:rsid w:val="00D502F2"/>
    <w:rsid w:val="00D502FE"/>
    <w:rsid w:val="00D5046A"/>
    <w:rsid w:val="00D504F1"/>
    <w:rsid w:val="00D50811"/>
    <w:rsid w:val="00D5084F"/>
    <w:rsid w:val="00D5098C"/>
    <w:rsid w:val="00D50A34"/>
    <w:rsid w:val="00D50A52"/>
    <w:rsid w:val="00D50AD9"/>
    <w:rsid w:val="00D50AF6"/>
    <w:rsid w:val="00D50B65"/>
    <w:rsid w:val="00D50BB7"/>
    <w:rsid w:val="00D50E85"/>
    <w:rsid w:val="00D50F0E"/>
    <w:rsid w:val="00D50F34"/>
    <w:rsid w:val="00D50FE8"/>
    <w:rsid w:val="00D51244"/>
    <w:rsid w:val="00D51642"/>
    <w:rsid w:val="00D5176B"/>
    <w:rsid w:val="00D517C0"/>
    <w:rsid w:val="00D51D00"/>
    <w:rsid w:val="00D51D48"/>
    <w:rsid w:val="00D51D80"/>
    <w:rsid w:val="00D51DE8"/>
    <w:rsid w:val="00D51ECE"/>
    <w:rsid w:val="00D52347"/>
    <w:rsid w:val="00D523F8"/>
    <w:rsid w:val="00D524FE"/>
    <w:rsid w:val="00D5263B"/>
    <w:rsid w:val="00D5265A"/>
    <w:rsid w:val="00D52734"/>
    <w:rsid w:val="00D528AB"/>
    <w:rsid w:val="00D5299C"/>
    <w:rsid w:val="00D52A52"/>
    <w:rsid w:val="00D52A6D"/>
    <w:rsid w:val="00D52AC8"/>
    <w:rsid w:val="00D52C8D"/>
    <w:rsid w:val="00D52D10"/>
    <w:rsid w:val="00D52D37"/>
    <w:rsid w:val="00D52DA6"/>
    <w:rsid w:val="00D52DF7"/>
    <w:rsid w:val="00D52E4C"/>
    <w:rsid w:val="00D52E93"/>
    <w:rsid w:val="00D52F50"/>
    <w:rsid w:val="00D53011"/>
    <w:rsid w:val="00D53021"/>
    <w:rsid w:val="00D53216"/>
    <w:rsid w:val="00D532D2"/>
    <w:rsid w:val="00D53751"/>
    <w:rsid w:val="00D53B59"/>
    <w:rsid w:val="00D53BC4"/>
    <w:rsid w:val="00D53C11"/>
    <w:rsid w:val="00D53C5B"/>
    <w:rsid w:val="00D53C7B"/>
    <w:rsid w:val="00D53C9B"/>
    <w:rsid w:val="00D53F0B"/>
    <w:rsid w:val="00D5402A"/>
    <w:rsid w:val="00D54257"/>
    <w:rsid w:val="00D542C9"/>
    <w:rsid w:val="00D54384"/>
    <w:rsid w:val="00D544D4"/>
    <w:rsid w:val="00D54538"/>
    <w:rsid w:val="00D54746"/>
    <w:rsid w:val="00D54DF4"/>
    <w:rsid w:val="00D54E5A"/>
    <w:rsid w:val="00D54F34"/>
    <w:rsid w:val="00D5514A"/>
    <w:rsid w:val="00D552B8"/>
    <w:rsid w:val="00D55320"/>
    <w:rsid w:val="00D5532D"/>
    <w:rsid w:val="00D55352"/>
    <w:rsid w:val="00D553E6"/>
    <w:rsid w:val="00D5550D"/>
    <w:rsid w:val="00D555B1"/>
    <w:rsid w:val="00D555DE"/>
    <w:rsid w:val="00D5569E"/>
    <w:rsid w:val="00D5578B"/>
    <w:rsid w:val="00D55A33"/>
    <w:rsid w:val="00D55B6F"/>
    <w:rsid w:val="00D55BCC"/>
    <w:rsid w:val="00D55BD1"/>
    <w:rsid w:val="00D55D2C"/>
    <w:rsid w:val="00D55E63"/>
    <w:rsid w:val="00D55EC0"/>
    <w:rsid w:val="00D55FEC"/>
    <w:rsid w:val="00D560D0"/>
    <w:rsid w:val="00D561D3"/>
    <w:rsid w:val="00D56391"/>
    <w:rsid w:val="00D5640C"/>
    <w:rsid w:val="00D56503"/>
    <w:rsid w:val="00D56606"/>
    <w:rsid w:val="00D5668A"/>
    <w:rsid w:val="00D566FD"/>
    <w:rsid w:val="00D567E2"/>
    <w:rsid w:val="00D567F6"/>
    <w:rsid w:val="00D5680F"/>
    <w:rsid w:val="00D56852"/>
    <w:rsid w:val="00D568CA"/>
    <w:rsid w:val="00D569BF"/>
    <w:rsid w:val="00D569C8"/>
    <w:rsid w:val="00D56CCD"/>
    <w:rsid w:val="00D56F29"/>
    <w:rsid w:val="00D56FD6"/>
    <w:rsid w:val="00D57004"/>
    <w:rsid w:val="00D571A4"/>
    <w:rsid w:val="00D57203"/>
    <w:rsid w:val="00D572E2"/>
    <w:rsid w:val="00D57525"/>
    <w:rsid w:val="00D577E4"/>
    <w:rsid w:val="00D579D7"/>
    <w:rsid w:val="00D57EFA"/>
    <w:rsid w:val="00D60010"/>
    <w:rsid w:val="00D6006D"/>
    <w:rsid w:val="00D602FC"/>
    <w:rsid w:val="00D6031B"/>
    <w:rsid w:val="00D60336"/>
    <w:rsid w:val="00D6035B"/>
    <w:rsid w:val="00D603D0"/>
    <w:rsid w:val="00D603EF"/>
    <w:rsid w:val="00D6044E"/>
    <w:rsid w:val="00D60461"/>
    <w:rsid w:val="00D606E7"/>
    <w:rsid w:val="00D609AF"/>
    <w:rsid w:val="00D609D7"/>
    <w:rsid w:val="00D60B76"/>
    <w:rsid w:val="00D60C50"/>
    <w:rsid w:val="00D60E16"/>
    <w:rsid w:val="00D60FDD"/>
    <w:rsid w:val="00D612A1"/>
    <w:rsid w:val="00D612D1"/>
    <w:rsid w:val="00D61471"/>
    <w:rsid w:val="00D615E2"/>
    <w:rsid w:val="00D6172D"/>
    <w:rsid w:val="00D61796"/>
    <w:rsid w:val="00D61934"/>
    <w:rsid w:val="00D61A8D"/>
    <w:rsid w:val="00D61ABD"/>
    <w:rsid w:val="00D61D58"/>
    <w:rsid w:val="00D61E21"/>
    <w:rsid w:val="00D61E7A"/>
    <w:rsid w:val="00D61F28"/>
    <w:rsid w:val="00D62201"/>
    <w:rsid w:val="00D622CE"/>
    <w:rsid w:val="00D622E0"/>
    <w:rsid w:val="00D62601"/>
    <w:rsid w:val="00D627B6"/>
    <w:rsid w:val="00D627DB"/>
    <w:rsid w:val="00D62BF4"/>
    <w:rsid w:val="00D62C22"/>
    <w:rsid w:val="00D62C7E"/>
    <w:rsid w:val="00D62C8F"/>
    <w:rsid w:val="00D62F3F"/>
    <w:rsid w:val="00D6311F"/>
    <w:rsid w:val="00D631C6"/>
    <w:rsid w:val="00D631EF"/>
    <w:rsid w:val="00D63253"/>
    <w:rsid w:val="00D63273"/>
    <w:rsid w:val="00D63397"/>
    <w:rsid w:val="00D634F0"/>
    <w:rsid w:val="00D6352C"/>
    <w:rsid w:val="00D639AF"/>
    <w:rsid w:val="00D63A79"/>
    <w:rsid w:val="00D63BAB"/>
    <w:rsid w:val="00D63D85"/>
    <w:rsid w:val="00D63DB8"/>
    <w:rsid w:val="00D63E98"/>
    <w:rsid w:val="00D63FB3"/>
    <w:rsid w:val="00D64009"/>
    <w:rsid w:val="00D64289"/>
    <w:rsid w:val="00D64460"/>
    <w:rsid w:val="00D644DE"/>
    <w:rsid w:val="00D64828"/>
    <w:rsid w:val="00D649F2"/>
    <w:rsid w:val="00D64B7D"/>
    <w:rsid w:val="00D64BA7"/>
    <w:rsid w:val="00D64DCD"/>
    <w:rsid w:val="00D64EA0"/>
    <w:rsid w:val="00D64F2A"/>
    <w:rsid w:val="00D64F5D"/>
    <w:rsid w:val="00D65235"/>
    <w:rsid w:val="00D65262"/>
    <w:rsid w:val="00D652D5"/>
    <w:rsid w:val="00D653C2"/>
    <w:rsid w:val="00D653E0"/>
    <w:rsid w:val="00D65401"/>
    <w:rsid w:val="00D65449"/>
    <w:rsid w:val="00D655B9"/>
    <w:rsid w:val="00D656CD"/>
    <w:rsid w:val="00D65855"/>
    <w:rsid w:val="00D6587D"/>
    <w:rsid w:val="00D65C66"/>
    <w:rsid w:val="00D65D26"/>
    <w:rsid w:val="00D65F14"/>
    <w:rsid w:val="00D65F21"/>
    <w:rsid w:val="00D6608D"/>
    <w:rsid w:val="00D660F5"/>
    <w:rsid w:val="00D661D6"/>
    <w:rsid w:val="00D66315"/>
    <w:rsid w:val="00D66425"/>
    <w:rsid w:val="00D6644D"/>
    <w:rsid w:val="00D66727"/>
    <w:rsid w:val="00D669A4"/>
    <w:rsid w:val="00D669DF"/>
    <w:rsid w:val="00D66AB5"/>
    <w:rsid w:val="00D66C2E"/>
    <w:rsid w:val="00D66D5B"/>
    <w:rsid w:val="00D66E75"/>
    <w:rsid w:val="00D671AA"/>
    <w:rsid w:val="00D671AB"/>
    <w:rsid w:val="00D67220"/>
    <w:rsid w:val="00D673CE"/>
    <w:rsid w:val="00D67407"/>
    <w:rsid w:val="00D67408"/>
    <w:rsid w:val="00D67488"/>
    <w:rsid w:val="00D6762A"/>
    <w:rsid w:val="00D676E4"/>
    <w:rsid w:val="00D6774E"/>
    <w:rsid w:val="00D67764"/>
    <w:rsid w:val="00D67B1A"/>
    <w:rsid w:val="00D67B9B"/>
    <w:rsid w:val="00D67BD0"/>
    <w:rsid w:val="00D67CF1"/>
    <w:rsid w:val="00D67D17"/>
    <w:rsid w:val="00D67D82"/>
    <w:rsid w:val="00D67E02"/>
    <w:rsid w:val="00D7001D"/>
    <w:rsid w:val="00D703D3"/>
    <w:rsid w:val="00D70568"/>
    <w:rsid w:val="00D70589"/>
    <w:rsid w:val="00D705A1"/>
    <w:rsid w:val="00D706D4"/>
    <w:rsid w:val="00D70789"/>
    <w:rsid w:val="00D708CB"/>
    <w:rsid w:val="00D70A56"/>
    <w:rsid w:val="00D70ABC"/>
    <w:rsid w:val="00D70E0F"/>
    <w:rsid w:val="00D71116"/>
    <w:rsid w:val="00D711B6"/>
    <w:rsid w:val="00D711E3"/>
    <w:rsid w:val="00D7133A"/>
    <w:rsid w:val="00D71497"/>
    <w:rsid w:val="00D71663"/>
    <w:rsid w:val="00D717B6"/>
    <w:rsid w:val="00D71854"/>
    <w:rsid w:val="00D718C3"/>
    <w:rsid w:val="00D718E4"/>
    <w:rsid w:val="00D71A10"/>
    <w:rsid w:val="00D71AAB"/>
    <w:rsid w:val="00D71C36"/>
    <w:rsid w:val="00D71CC7"/>
    <w:rsid w:val="00D71FC4"/>
    <w:rsid w:val="00D720C6"/>
    <w:rsid w:val="00D720E2"/>
    <w:rsid w:val="00D721BA"/>
    <w:rsid w:val="00D7224F"/>
    <w:rsid w:val="00D72753"/>
    <w:rsid w:val="00D7287C"/>
    <w:rsid w:val="00D72A88"/>
    <w:rsid w:val="00D72BAC"/>
    <w:rsid w:val="00D72BCE"/>
    <w:rsid w:val="00D72C20"/>
    <w:rsid w:val="00D72D25"/>
    <w:rsid w:val="00D72E05"/>
    <w:rsid w:val="00D72E88"/>
    <w:rsid w:val="00D73044"/>
    <w:rsid w:val="00D730CE"/>
    <w:rsid w:val="00D73363"/>
    <w:rsid w:val="00D73402"/>
    <w:rsid w:val="00D7344D"/>
    <w:rsid w:val="00D734A8"/>
    <w:rsid w:val="00D73758"/>
    <w:rsid w:val="00D737AE"/>
    <w:rsid w:val="00D738A1"/>
    <w:rsid w:val="00D73C84"/>
    <w:rsid w:val="00D73D3C"/>
    <w:rsid w:val="00D74025"/>
    <w:rsid w:val="00D74126"/>
    <w:rsid w:val="00D7416B"/>
    <w:rsid w:val="00D7422F"/>
    <w:rsid w:val="00D743B0"/>
    <w:rsid w:val="00D7446D"/>
    <w:rsid w:val="00D7458A"/>
    <w:rsid w:val="00D74603"/>
    <w:rsid w:val="00D7469A"/>
    <w:rsid w:val="00D74786"/>
    <w:rsid w:val="00D7495F"/>
    <w:rsid w:val="00D74AA3"/>
    <w:rsid w:val="00D74B6C"/>
    <w:rsid w:val="00D74BA4"/>
    <w:rsid w:val="00D74BC8"/>
    <w:rsid w:val="00D74D01"/>
    <w:rsid w:val="00D74D2B"/>
    <w:rsid w:val="00D74D88"/>
    <w:rsid w:val="00D74F00"/>
    <w:rsid w:val="00D753B1"/>
    <w:rsid w:val="00D75647"/>
    <w:rsid w:val="00D7577F"/>
    <w:rsid w:val="00D75866"/>
    <w:rsid w:val="00D759F7"/>
    <w:rsid w:val="00D75C73"/>
    <w:rsid w:val="00D75D1D"/>
    <w:rsid w:val="00D75E47"/>
    <w:rsid w:val="00D75E8B"/>
    <w:rsid w:val="00D75ED6"/>
    <w:rsid w:val="00D75EFB"/>
    <w:rsid w:val="00D76008"/>
    <w:rsid w:val="00D760E9"/>
    <w:rsid w:val="00D761AB"/>
    <w:rsid w:val="00D76250"/>
    <w:rsid w:val="00D76284"/>
    <w:rsid w:val="00D76B46"/>
    <w:rsid w:val="00D76C65"/>
    <w:rsid w:val="00D76D98"/>
    <w:rsid w:val="00D76DD1"/>
    <w:rsid w:val="00D76E1F"/>
    <w:rsid w:val="00D76E37"/>
    <w:rsid w:val="00D772E2"/>
    <w:rsid w:val="00D77632"/>
    <w:rsid w:val="00D7775E"/>
    <w:rsid w:val="00D777CB"/>
    <w:rsid w:val="00D77883"/>
    <w:rsid w:val="00D77965"/>
    <w:rsid w:val="00D779AE"/>
    <w:rsid w:val="00D779B2"/>
    <w:rsid w:val="00D77AAE"/>
    <w:rsid w:val="00D77EA4"/>
    <w:rsid w:val="00D77F66"/>
    <w:rsid w:val="00D8000F"/>
    <w:rsid w:val="00D80241"/>
    <w:rsid w:val="00D8024F"/>
    <w:rsid w:val="00D80274"/>
    <w:rsid w:val="00D802CA"/>
    <w:rsid w:val="00D803D5"/>
    <w:rsid w:val="00D80428"/>
    <w:rsid w:val="00D80606"/>
    <w:rsid w:val="00D806C3"/>
    <w:rsid w:val="00D807AA"/>
    <w:rsid w:val="00D807B1"/>
    <w:rsid w:val="00D8093C"/>
    <w:rsid w:val="00D809BF"/>
    <w:rsid w:val="00D809F8"/>
    <w:rsid w:val="00D80BF3"/>
    <w:rsid w:val="00D80D3A"/>
    <w:rsid w:val="00D80D4A"/>
    <w:rsid w:val="00D80D87"/>
    <w:rsid w:val="00D80DE1"/>
    <w:rsid w:val="00D81051"/>
    <w:rsid w:val="00D810DB"/>
    <w:rsid w:val="00D81131"/>
    <w:rsid w:val="00D816A5"/>
    <w:rsid w:val="00D81791"/>
    <w:rsid w:val="00D81836"/>
    <w:rsid w:val="00D81A46"/>
    <w:rsid w:val="00D81A57"/>
    <w:rsid w:val="00D81A6B"/>
    <w:rsid w:val="00D81B77"/>
    <w:rsid w:val="00D81CF7"/>
    <w:rsid w:val="00D81E1A"/>
    <w:rsid w:val="00D81F06"/>
    <w:rsid w:val="00D81F21"/>
    <w:rsid w:val="00D82000"/>
    <w:rsid w:val="00D820B8"/>
    <w:rsid w:val="00D82115"/>
    <w:rsid w:val="00D821B9"/>
    <w:rsid w:val="00D822DE"/>
    <w:rsid w:val="00D824D9"/>
    <w:rsid w:val="00D8257F"/>
    <w:rsid w:val="00D827D9"/>
    <w:rsid w:val="00D8286D"/>
    <w:rsid w:val="00D828BA"/>
    <w:rsid w:val="00D82905"/>
    <w:rsid w:val="00D82995"/>
    <w:rsid w:val="00D82ADF"/>
    <w:rsid w:val="00D82BC2"/>
    <w:rsid w:val="00D82BFC"/>
    <w:rsid w:val="00D82E3B"/>
    <w:rsid w:val="00D82FF6"/>
    <w:rsid w:val="00D83274"/>
    <w:rsid w:val="00D833B0"/>
    <w:rsid w:val="00D8350B"/>
    <w:rsid w:val="00D83558"/>
    <w:rsid w:val="00D8370C"/>
    <w:rsid w:val="00D83834"/>
    <w:rsid w:val="00D8391D"/>
    <w:rsid w:val="00D839FE"/>
    <w:rsid w:val="00D83A58"/>
    <w:rsid w:val="00D83B98"/>
    <w:rsid w:val="00D83C36"/>
    <w:rsid w:val="00D83C83"/>
    <w:rsid w:val="00D83EF3"/>
    <w:rsid w:val="00D8404C"/>
    <w:rsid w:val="00D841C0"/>
    <w:rsid w:val="00D8434D"/>
    <w:rsid w:val="00D8455B"/>
    <w:rsid w:val="00D845AA"/>
    <w:rsid w:val="00D84614"/>
    <w:rsid w:val="00D847A7"/>
    <w:rsid w:val="00D8481F"/>
    <w:rsid w:val="00D84976"/>
    <w:rsid w:val="00D84AE5"/>
    <w:rsid w:val="00D84C34"/>
    <w:rsid w:val="00D84C44"/>
    <w:rsid w:val="00D84F53"/>
    <w:rsid w:val="00D85023"/>
    <w:rsid w:val="00D85122"/>
    <w:rsid w:val="00D851D8"/>
    <w:rsid w:val="00D851F7"/>
    <w:rsid w:val="00D853B8"/>
    <w:rsid w:val="00D8546B"/>
    <w:rsid w:val="00D85621"/>
    <w:rsid w:val="00D8566E"/>
    <w:rsid w:val="00D8577D"/>
    <w:rsid w:val="00D857B1"/>
    <w:rsid w:val="00D85884"/>
    <w:rsid w:val="00D85927"/>
    <w:rsid w:val="00D85BA1"/>
    <w:rsid w:val="00D85CC0"/>
    <w:rsid w:val="00D85D43"/>
    <w:rsid w:val="00D85E29"/>
    <w:rsid w:val="00D86026"/>
    <w:rsid w:val="00D8610D"/>
    <w:rsid w:val="00D86129"/>
    <w:rsid w:val="00D861EF"/>
    <w:rsid w:val="00D8620A"/>
    <w:rsid w:val="00D866BF"/>
    <w:rsid w:val="00D86817"/>
    <w:rsid w:val="00D86945"/>
    <w:rsid w:val="00D869A0"/>
    <w:rsid w:val="00D869CC"/>
    <w:rsid w:val="00D86C05"/>
    <w:rsid w:val="00D86C6D"/>
    <w:rsid w:val="00D86CF1"/>
    <w:rsid w:val="00D86D2C"/>
    <w:rsid w:val="00D86F06"/>
    <w:rsid w:val="00D86FAF"/>
    <w:rsid w:val="00D870D9"/>
    <w:rsid w:val="00D8727B"/>
    <w:rsid w:val="00D87408"/>
    <w:rsid w:val="00D87523"/>
    <w:rsid w:val="00D8754B"/>
    <w:rsid w:val="00D875A9"/>
    <w:rsid w:val="00D876FA"/>
    <w:rsid w:val="00D8776C"/>
    <w:rsid w:val="00D877C6"/>
    <w:rsid w:val="00D8789F"/>
    <w:rsid w:val="00D879B9"/>
    <w:rsid w:val="00D87BE7"/>
    <w:rsid w:val="00D87C20"/>
    <w:rsid w:val="00D87CE0"/>
    <w:rsid w:val="00D87D80"/>
    <w:rsid w:val="00D87E74"/>
    <w:rsid w:val="00D90130"/>
    <w:rsid w:val="00D90334"/>
    <w:rsid w:val="00D90403"/>
    <w:rsid w:val="00D905FB"/>
    <w:rsid w:val="00D90767"/>
    <w:rsid w:val="00D907B1"/>
    <w:rsid w:val="00D908BA"/>
    <w:rsid w:val="00D909F5"/>
    <w:rsid w:val="00D90CB5"/>
    <w:rsid w:val="00D90D86"/>
    <w:rsid w:val="00D90DD4"/>
    <w:rsid w:val="00D90E41"/>
    <w:rsid w:val="00D90FBE"/>
    <w:rsid w:val="00D90FF8"/>
    <w:rsid w:val="00D9116B"/>
    <w:rsid w:val="00D913F7"/>
    <w:rsid w:val="00D917A9"/>
    <w:rsid w:val="00D91928"/>
    <w:rsid w:val="00D91A04"/>
    <w:rsid w:val="00D91A4B"/>
    <w:rsid w:val="00D91BF3"/>
    <w:rsid w:val="00D91CF1"/>
    <w:rsid w:val="00D91E02"/>
    <w:rsid w:val="00D91E68"/>
    <w:rsid w:val="00D920C6"/>
    <w:rsid w:val="00D92200"/>
    <w:rsid w:val="00D92367"/>
    <w:rsid w:val="00D9238B"/>
    <w:rsid w:val="00D92459"/>
    <w:rsid w:val="00D9251F"/>
    <w:rsid w:val="00D9253A"/>
    <w:rsid w:val="00D92645"/>
    <w:rsid w:val="00D92A26"/>
    <w:rsid w:val="00D92C80"/>
    <w:rsid w:val="00D92CBA"/>
    <w:rsid w:val="00D92CD5"/>
    <w:rsid w:val="00D92D30"/>
    <w:rsid w:val="00D92D79"/>
    <w:rsid w:val="00D92D7E"/>
    <w:rsid w:val="00D92E97"/>
    <w:rsid w:val="00D92FCE"/>
    <w:rsid w:val="00D93026"/>
    <w:rsid w:val="00D9303E"/>
    <w:rsid w:val="00D932D4"/>
    <w:rsid w:val="00D932E3"/>
    <w:rsid w:val="00D933BC"/>
    <w:rsid w:val="00D93430"/>
    <w:rsid w:val="00D9352D"/>
    <w:rsid w:val="00D93598"/>
    <w:rsid w:val="00D935BC"/>
    <w:rsid w:val="00D93623"/>
    <w:rsid w:val="00D937D4"/>
    <w:rsid w:val="00D93DCB"/>
    <w:rsid w:val="00D93F2E"/>
    <w:rsid w:val="00D93FA1"/>
    <w:rsid w:val="00D94205"/>
    <w:rsid w:val="00D9434C"/>
    <w:rsid w:val="00D9447D"/>
    <w:rsid w:val="00D9458A"/>
    <w:rsid w:val="00D9459E"/>
    <w:rsid w:val="00D946D0"/>
    <w:rsid w:val="00D946EB"/>
    <w:rsid w:val="00D947E6"/>
    <w:rsid w:val="00D948C2"/>
    <w:rsid w:val="00D94A74"/>
    <w:rsid w:val="00D94A7A"/>
    <w:rsid w:val="00D94CAA"/>
    <w:rsid w:val="00D94E97"/>
    <w:rsid w:val="00D9539B"/>
    <w:rsid w:val="00D9544E"/>
    <w:rsid w:val="00D954CB"/>
    <w:rsid w:val="00D9552C"/>
    <w:rsid w:val="00D95687"/>
    <w:rsid w:val="00D956EC"/>
    <w:rsid w:val="00D9573F"/>
    <w:rsid w:val="00D95822"/>
    <w:rsid w:val="00D9585B"/>
    <w:rsid w:val="00D9597E"/>
    <w:rsid w:val="00D95C04"/>
    <w:rsid w:val="00D95C3E"/>
    <w:rsid w:val="00D960CE"/>
    <w:rsid w:val="00D9658A"/>
    <w:rsid w:val="00D966BC"/>
    <w:rsid w:val="00D966D6"/>
    <w:rsid w:val="00D96789"/>
    <w:rsid w:val="00D96832"/>
    <w:rsid w:val="00D969AC"/>
    <w:rsid w:val="00D96A0C"/>
    <w:rsid w:val="00D96C5C"/>
    <w:rsid w:val="00D96CBD"/>
    <w:rsid w:val="00D9700E"/>
    <w:rsid w:val="00D97142"/>
    <w:rsid w:val="00D971DF"/>
    <w:rsid w:val="00D97432"/>
    <w:rsid w:val="00D974F5"/>
    <w:rsid w:val="00D97998"/>
    <w:rsid w:val="00D97B38"/>
    <w:rsid w:val="00D97B3F"/>
    <w:rsid w:val="00DA010F"/>
    <w:rsid w:val="00DA011C"/>
    <w:rsid w:val="00DA0329"/>
    <w:rsid w:val="00DA04B6"/>
    <w:rsid w:val="00DA0598"/>
    <w:rsid w:val="00DA078A"/>
    <w:rsid w:val="00DA07CE"/>
    <w:rsid w:val="00DA083E"/>
    <w:rsid w:val="00DA0A84"/>
    <w:rsid w:val="00DA0B3F"/>
    <w:rsid w:val="00DA0E4E"/>
    <w:rsid w:val="00DA0F06"/>
    <w:rsid w:val="00DA1281"/>
    <w:rsid w:val="00DA13FE"/>
    <w:rsid w:val="00DA1403"/>
    <w:rsid w:val="00DA1692"/>
    <w:rsid w:val="00DA16C2"/>
    <w:rsid w:val="00DA16D0"/>
    <w:rsid w:val="00DA17CD"/>
    <w:rsid w:val="00DA1BD3"/>
    <w:rsid w:val="00DA1C09"/>
    <w:rsid w:val="00DA1E12"/>
    <w:rsid w:val="00DA1E5B"/>
    <w:rsid w:val="00DA1EC3"/>
    <w:rsid w:val="00DA1EF8"/>
    <w:rsid w:val="00DA1FC4"/>
    <w:rsid w:val="00DA21BF"/>
    <w:rsid w:val="00DA23E3"/>
    <w:rsid w:val="00DA24DF"/>
    <w:rsid w:val="00DA2567"/>
    <w:rsid w:val="00DA25D9"/>
    <w:rsid w:val="00DA2710"/>
    <w:rsid w:val="00DA2799"/>
    <w:rsid w:val="00DA289D"/>
    <w:rsid w:val="00DA2921"/>
    <w:rsid w:val="00DA2981"/>
    <w:rsid w:val="00DA2AF6"/>
    <w:rsid w:val="00DA2B0C"/>
    <w:rsid w:val="00DA2C43"/>
    <w:rsid w:val="00DA2EC7"/>
    <w:rsid w:val="00DA2FAC"/>
    <w:rsid w:val="00DA3135"/>
    <w:rsid w:val="00DA31E4"/>
    <w:rsid w:val="00DA337D"/>
    <w:rsid w:val="00DA3471"/>
    <w:rsid w:val="00DA36CF"/>
    <w:rsid w:val="00DA3830"/>
    <w:rsid w:val="00DA3868"/>
    <w:rsid w:val="00DA398B"/>
    <w:rsid w:val="00DA3D1C"/>
    <w:rsid w:val="00DA3E2C"/>
    <w:rsid w:val="00DA3F32"/>
    <w:rsid w:val="00DA40B8"/>
    <w:rsid w:val="00DA4110"/>
    <w:rsid w:val="00DA425B"/>
    <w:rsid w:val="00DA426A"/>
    <w:rsid w:val="00DA43F4"/>
    <w:rsid w:val="00DA479B"/>
    <w:rsid w:val="00DA4996"/>
    <w:rsid w:val="00DA49B4"/>
    <w:rsid w:val="00DA49FD"/>
    <w:rsid w:val="00DA4B8F"/>
    <w:rsid w:val="00DA4C77"/>
    <w:rsid w:val="00DA4DBF"/>
    <w:rsid w:val="00DA4F48"/>
    <w:rsid w:val="00DA4FE3"/>
    <w:rsid w:val="00DA5032"/>
    <w:rsid w:val="00DA5062"/>
    <w:rsid w:val="00DA5148"/>
    <w:rsid w:val="00DA5217"/>
    <w:rsid w:val="00DA5373"/>
    <w:rsid w:val="00DA5393"/>
    <w:rsid w:val="00DA53BC"/>
    <w:rsid w:val="00DA544D"/>
    <w:rsid w:val="00DA5CE0"/>
    <w:rsid w:val="00DA5E7F"/>
    <w:rsid w:val="00DA5F77"/>
    <w:rsid w:val="00DA605E"/>
    <w:rsid w:val="00DA60A5"/>
    <w:rsid w:val="00DA60C5"/>
    <w:rsid w:val="00DA61EE"/>
    <w:rsid w:val="00DA6369"/>
    <w:rsid w:val="00DA643E"/>
    <w:rsid w:val="00DA6514"/>
    <w:rsid w:val="00DA655E"/>
    <w:rsid w:val="00DA6679"/>
    <w:rsid w:val="00DA68AD"/>
    <w:rsid w:val="00DA69F8"/>
    <w:rsid w:val="00DA6AC4"/>
    <w:rsid w:val="00DA6DCC"/>
    <w:rsid w:val="00DA70BE"/>
    <w:rsid w:val="00DA70C4"/>
    <w:rsid w:val="00DA70D7"/>
    <w:rsid w:val="00DA726D"/>
    <w:rsid w:val="00DA73ED"/>
    <w:rsid w:val="00DA74A7"/>
    <w:rsid w:val="00DA756F"/>
    <w:rsid w:val="00DA77BD"/>
    <w:rsid w:val="00DA7A1D"/>
    <w:rsid w:val="00DA7CC1"/>
    <w:rsid w:val="00DA7CD6"/>
    <w:rsid w:val="00DA7EAF"/>
    <w:rsid w:val="00DA7EE3"/>
    <w:rsid w:val="00DB0164"/>
    <w:rsid w:val="00DB0267"/>
    <w:rsid w:val="00DB02DB"/>
    <w:rsid w:val="00DB07F8"/>
    <w:rsid w:val="00DB0B0C"/>
    <w:rsid w:val="00DB0B18"/>
    <w:rsid w:val="00DB0B8F"/>
    <w:rsid w:val="00DB0E28"/>
    <w:rsid w:val="00DB0F86"/>
    <w:rsid w:val="00DB1280"/>
    <w:rsid w:val="00DB13EE"/>
    <w:rsid w:val="00DB1411"/>
    <w:rsid w:val="00DB14C8"/>
    <w:rsid w:val="00DB1795"/>
    <w:rsid w:val="00DB1815"/>
    <w:rsid w:val="00DB188E"/>
    <w:rsid w:val="00DB18B9"/>
    <w:rsid w:val="00DB192D"/>
    <w:rsid w:val="00DB1974"/>
    <w:rsid w:val="00DB1C17"/>
    <w:rsid w:val="00DB1C4F"/>
    <w:rsid w:val="00DB1DB3"/>
    <w:rsid w:val="00DB1EC2"/>
    <w:rsid w:val="00DB206F"/>
    <w:rsid w:val="00DB2136"/>
    <w:rsid w:val="00DB216D"/>
    <w:rsid w:val="00DB222C"/>
    <w:rsid w:val="00DB22FA"/>
    <w:rsid w:val="00DB237E"/>
    <w:rsid w:val="00DB2394"/>
    <w:rsid w:val="00DB2438"/>
    <w:rsid w:val="00DB2466"/>
    <w:rsid w:val="00DB2539"/>
    <w:rsid w:val="00DB25CE"/>
    <w:rsid w:val="00DB26B8"/>
    <w:rsid w:val="00DB26CB"/>
    <w:rsid w:val="00DB2700"/>
    <w:rsid w:val="00DB27DF"/>
    <w:rsid w:val="00DB283C"/>
    <w:rsid w:val="00DB285F"/>
    <w:rsid w:val="00DB28C1"/>
    <w:rsid w:val="00DB29B5"/>
    <w:rsid w:val="00DB2B6C"/>
    <w:rsid w:val="00DB2CCB"/>
    <w:rsid w:val="00DB2CCF"/>
    <w:rsid w:val="00DB2D3D"/>
    <w:rsid w:val="00DB2DDB"/>
    <w:rsid w:val="00DB2E63"/>
    <w:rsid w:val="00DB2FC3"/>
    <w:rsid w:val="00DB324C"/>
    <w:rsid w:val="00DB3299"/>
    <w:rsid w:val="00DB335B"/>
    <w:rsid w:val="00DB3380"/>
    <w:rsid w:val="00DB3713"/>
    <w:rsid w:val="00DB3960"/>
    <w:rsid w:val="00DB3A1A"/>
    <w:rsid w:val="00DB3AE8"/>
    <w:rsid w:val="00DB3D36"/>
    <w:rsid w:val="00DB3DC2"/>
    <w:rsid w:val="00DB4111"/>
    <w:rsid w:val="00DB4372"/>
    <w:rsid w:val="00DB4746"/>
    <w:rsid w:val="00DB48A5"/>
    <w:rsid w:val="00DB4971"/>
    <w:rsid w:val="00DB49B7"/>
    <w:rsid w:val="00DB4C6B"/>
    <w:rsid w:val="00DB4CDE"/>
    <w:rsid w:val="00DB4F86"/>
    <w:rsid w:val="00DB5234"/>
    <w:rsid w:val="00DB52A8"/>
    <w:rsid w:val="00DB52F5"/>
    <w:rsid w:val="00DB56AC"/>
    <w:rsid w:val="00DB5902"/>
    <w:rsid w:val="00DB59A1"/>
    <w:rsid w:val="00DB6503"/>
    <w:rsid w:val="00DB670B"/>
    <w:rsid w:val="00DB69A0"/>
    <w:rsid w:val="00DB69D8"/>
    <w:rsid w:val="00DB6D1D"/>
    <w:rsid w:val="00DB6D7E"/>
    <w:rsid w:val="00DB6E1E"/>
    <w:rsid w:val="00DB7150"/>
    <w:rsid w:val="00DB71C5"/>
    <w:rsid w:val="00DB71F6"/>
    <w:rsid w:val="00DB7259"/>
    <w:rsid w:val="00DB72EE"/>
    <w:rsid w:val="00DB733A"/>
    <w:rsid w:val="00DB73B3"/>
    <w:rsid w:val="00DB73F8"/>
    <w:rsid w:val="00DB7442"/>
    <w:rsid w:val="00DB7485"/>
    <w:rsid w:val="00DB7508"/>
    <w:rsid w:val="00DB750F"/>
    <w:rsid w:val="00DB7575"/>
    <w:rsid w:val="00DB75E6"/>
    <w:rsid w:val="00DB7814"/>
    <w:rsid w:val="00DB7891"/>
    <w:rsid w:val="00DB793A"/>
    <w:rsid w:val="00DB79C7"/>
    <w:rsid w:val="00DB7AD5"/>
    <w:rsid w:val="00DB7AF4"/>
    <w:rsid w:val="00DB7CF1"/>
    <w:rsid w:val="00DB7E4C"/>
    <w:rsid w:val="00DB7E80"/>
    <w:rsid w:val="00DB7FFB"/>
    <w:rsid w:val="00DC01B5"/>
    <w:rsid w:val="00DC0202"/>
    <w:rsid w:val="00DC0228"/>
    <w:rsid w:val="00DC026F"/>
    <w:rsid w:val="00DC03EA"/>
    <w:rsid w:val="00DC04C1"/>
    <w:rsid w:val="00DC0649"/>
    <w:rsid w:val="00DC0779"/>
    <w:rsid w:val="00DC0897"/>
    <w:rsid w:val="00DC0958"/>
    <w:rsid w:val="00DC0976"/>
    <w:rsid w:val="00DC09E9"/>
    <w:rsid w:val="00DC0A20"/>
    <w:rsid w:val="00DC0AF1"/>
    <w:rsid w:val="00DC0B71"/>
    <w:rsid w:val="00DC0C03"/>
    <w:rsid w:val="00DC0E28"/>
    <w:rsid w:val="00DC0E2B"/>
    <w:rsid w:val="00DC0E9D"/>
    <w:rsid w:val="00DC0F41"/>
    <w:rsid w:val="00DC10B8"/>
    <w:rsid w:val="00DC1119"/>
    <w:rsid w:val="00DC111A"/>
    <w:rsid w:val="00DC1555"/>
    <w:rsid w:val="00DC18D9"/>
    <w:rsid w:val="00DC1A6D"/>
    <w:rsid w:val="00DC1D85"/>
    <w:rsid w:val="00DC1E1B"/>
    <w:rsid w:val="00DC1FDA"/>
    <w:rsid w:val="00DC205E"/>
    <w:rsid w:val="00DC229B"/>
    <w:rsid w:val="00DC23C7"/>
    <w:rsid w:val="00DC2772"/>
    <w:rsid w:val="00DC2810"/>
    <w:rsid w:val="00DC286B"/>
    <w:rsid w:val="00DC28A0"/>
    <w:rsid w:val="00DC2A19"/>
    <w:rsid w:val="00DC2AD4"/>
    <w:rsid w:val="00DC2E5D"/>
    <w:rsid w:val="00DC3084"/>
    <w:rsid w:val="00DC3143"/>
    <w:rsid w:val="00DC319B"/>
    <w:rsid w:val="00DC32BD"/>
    <w:rsid w:val="00DC32BF"/>
    <w:rsid w:val="00DC351F"/>
    <w:rsid w:val="00DC3741"/>
    <w:rsid w:val="00DC3788"/>
    <w:rsid w:val="00DC3836"/>
    <w:rsid w:val="00DC3937"/>
    <w:rsid w:val="00DC3A57"/>
    <w:rsid w:val="00DC3A81"/>
    <w:rsid w:val="00DC3B15"/>
    <w:rsid w:val="00DC3C33"/>
    <w:rsid w:val="00DC4134"/>
    <w:rsid w:val="00DC41C4"/>
    <w:rsid w:val="00DC41DD"/>
    <w:rsid w:val="00DC41F3"/>
    <w:rsid w:val="00DC421A"/>
    <w:rsid w:val="00DC4688"/>
    <w:rsid w:val="00DC478B"/>
    <w:rsid w:val="00DC47D7"/>
    <w:rsid w:val="00DC48F7"/>
    <w:rsid w:val="00DC4A18"/>
    <w:rsid w:val="00DC4AF8"/>
    <w:rsid w:val="00DC4B1A"/>
    <w:rsid w:val="00DC4B70"/>
    <w:rsid w:val="00DC4BEF"/>
    <w:rsid w:val="00DC4DA6"/>
    <w:rsid w:val="00DC4E11"/>
    <w:rsid w:val="00DC4F11"/>
    <w:rsid w:val="00DC4F44"/>
    <w:rsid w:val="00DC54BE"/>
    <w:rsid w:val="00DC5528"/>
    <w:rsid w:val="00DC5530"/>
    <w:rsid w:val="00DC5655"/>
    <w:rsid w:val="00DC5656"/>
    <w:rsid w:val="00DC56BD"/>
    <w:rsid w:val="00DC571C"/>
    <w:rsid w:val="00DC572A"/>
    <w:rsid w:val="00DC57F0"/>
    <w:rsid w:val="00DC5840"/>
    <w:rsid w:val="00DC58BB"/>
    <w:rsid w:val="00DC59D5"/>
    <w:rsid w:val="00DC5B32"/>
    <w:rsid w:val="00DC5B6C"/>
    <w:rsid w:val="00DC5B9C"/>
    <w:rsid w:val="00DC5C40"/>
    <w:rsid w:val="00DC5C52"/>
    <w:rsid w:val="00DC5C6F"/>
    <w:rsid w:val="00DC5CD2"/>
    <w:rsid w:val="00DC5E5E"/>
    <w:rsid w:val="00DC6054"/>
    <w:rsid w:val="00DC61B1"/>
    <w:rsid w:val="00DC62D4"/>
    <w:rsid w:val="00DC6356"/>
    <w:rsid w:val="00DC6399"/>
    <w:rsid w:val="00DC644F"/>
    <w:rsid w:val="00DC64DE"/>
    <w:rsid w:val="00DC6549"/>
    <w:rsid w:val="00DC657E"/>
    <w:rsid w:val="00DC679D"/>
    <w:rsid w:val="00DC6838"/>
    <w:rsid w:val="00DC6954"/>
    <w:rsid w:val="00DC6AA8"/>
    <w:rsid w:val="00DC6C2E"/>
    <w:rsid w:val="00DC6D07"/>
    <w:rsid w:val="00DC7010"/>
    <w:rsid w:val="00DC7021"/>
    <w:rsid w:val="00DC7043"/>
    <w:rsid w:val="00DC7201"/>
    <w:rsid w:val="00DC7243"/>
    <w:rsid w:val="00DC726A"/>
    <w:rsid w:val="00DC732F"/>
    <w:rsid w:val="00DC737E"/>
    <w:rsid w:val="00DC7438"/>
    <w:rsid w:val="00DC7524"/>
    <w:rsid w:val="00DC78A3"/>
    <w:rsid w:val="00DC78CA"/>
    <w:rsid w:val="00DC790E"/>
    <w:rsid w:val="00DC7A02"/>
    <w:rsid w:val="00DC7BD0"/>
    <w:rsid w:val="00DC7CAB"/>
    <w:rsid w:val="00DC7D1E"/>
    <w:rsid w:val="00DD01CE"/>
    <w:rsid w:val="00DD022E"/>
    <w:rsid w:val="00DD03DA"/>
    <w:rsid w:val="00DD060F"/>
    <w:rsid w:val="00DD07B1"/>
    <w:rsid w:val="00DD0951"/>
    <w:rsid w:val="00DD0AA4"/>
    <w:rsid w:val="00DD0C0B"/>
    <w:rsid w:val="00DD0C2D"/>
    <w:rsid w:val="00DD109E"/>
    <w:rsid w:val="00DD110F"/>
    <w:rsid w:val="00DD112E"/>
    <w:rsid w:val="00DD13F2"/>
    <w:rsid w:val="00DD1A6A"/>
    <w:rsid w:val="00DD1C38"/>
    <w:rsid w:val="00DD1D9A"/>
    <w:rsid w:val="00DD203E"/>
    <w:rsid w:val="00DD20E5"/>
    <w:rsid w:val="00DD2252"/>
    <w:rsid w:val="00DD22DF"/>
    <w:rsid w:val="00DD2359"/>
    <w:rsid w:val="00DD24D7"/>
    <w:rsid w:val="00DD25CC"/>
    <w:rsid w:val="00DD266D"/>
    <w:rsid w:val="00DD2688"/>
    <w:rsid w:val="00DD26E5"/>
    <w:rsid w:val="00DD289F"/>
    <w:rsid w:val="00DD2BEA"/>
    <w:rsid w:val="00DD2D22"/>
    <w:rsid w:val="00DD31B5"/>
    <w:rsid w:val="00DD320D"/>
    <w:rsid w:val="00DD33B8"/>
    <w:rsid w:val="00DD33D3"/>
    <w:rsid w:val="00DD33D6"/>
    <w:rsid w:val="00DD34ED"/>
    <w:rsid w:val="00DD3504"/>
    <w:rsid w:val="00DD376F"/>
    <w:rsid w:val="00DD37A8"/>
    <w:rsid w:val="00DD38ED"/>
    <w:rsid w:val="00DD3A14"/>
    <w:rsid w:val="00DD3A68"/>
    <w:rsid w:val="00DD3AC8"/>
    <w:rsid w:val="00DD3B14"/>
    <w:rsid w:val="00DD3B21"/>
    <w:rsid w:val="00DD3BEF"/>
    <w:rsid w:val="00DD3EFB"/>
    <w:rsid w:val="00DD4016"/>
    <w:rsid w:val="00DD4135"/>
    <w:rsid w:val="00DD4298"/>
    <w:rsid w:val="00DD439D"/>
    <w:rsid w:val="00DD43B1"/>
    <w:rsid w:val="00DD43DA"/>
    <w:rsid w:val="00DD488B"/>
    <w:rsid w:val="00DD4A1E"/>
    <w:rsid w:val="00DD4A69"/>
    <w:rsid w:val="00DD4BEF"/>
    <w:rsid w:val="00DD4D36"/>
    <w:rsid w:val="00DD508A"/>
    <w:rsid w:val="00DD5099"/>
    <w:rsid w:val="00DD50B9"/>
    <w:rsid w:val="00DD523F"/>
    <w:rsid w:val="00DD52FB"/>
    <w:rsid w:val="00DD538F"/>
    <w:rsid w:val="00DD5473"/>
    <w:rsid w:val="00DD5492"/>
    <w:rsid w:val="00DD5A67"/>
    <w:rsid w:val="00DD5BF5"/>
    <w:rsid w:val="00DD5E37"/>
    <w:rsid w:val="00DD5EC8"/>
    <w:rsid w:val="00DD5EE0"/>
    <w:rsid w:val="00DD6010"/>
    <w:rsid w:val="00DD61BA"/>
    <w:rsid w:val="00DD639A"/>
    <w:rsid w:val="00DD643B"/>
    <w:rsid w:val="00DD6524"/>
    <w:rsid w:val="00DD665E"/>
    <w:rsid w:val="00DD688F"/>
    <w:rsid w:val="00DD69A3"/>
    <w:rsid w:val="00DD69AA"/>
    <w:rsid w:val="00DD69E9"/>
    <w:rsid w:val="00DD6A9F"/>
    <w:rsid w:val="00DD6B86"/>
    <w:rsid w:val="00DD6E21"/>
    <w:rsid w:val="00DD6F6A"/>
    <w:rsid w:val="00DD6FEA"/>
    <w:rsid w:val="00DD6FF7"/>
    <w:rsid w:val="00DD70C0"/>
    <w:rsid w:val="00DD711C"/>
    <w:rsid w:val="00DD74AB"/>
    <w:rsid w:val="00DD759C"/>
    <w:rsid w:val="00DD78AD"/>
    <w:rsid w:val="00DD794E"/>
    <w:rsid w:val="00DD7A01"/>
    <w:rsid w:val="00DD7A40"/>
    <w:rsid w:val="00DD7B5A"/>
    <w:rsid w:val="00DD7D0F"/>
    <w:rsid w:val="00DD7DDF"/>
    <w:rsid w:val="00DD7FC5"/>
    <w:rsid w:val="00DE013C"/>
    <w:rsid w:val="00DE0365"/>
    <w:rsid w:val="00DE03CA"/>
    <w:rsid w:val="00DE03FD"/>
    <w:rsid w:val="00DE0602"/>
    <w:rsid w:val="00DE0888"/>
    <w:rsid w:val="00DE089D"/>
    <w:rsid w:val="00DE08C0"/>
    <w:rsid w:val="00DE0A83"/>
    <w:rsid w:val="00DE0AEA"/>
    <w:rsid w:val="00DE0BE9"/>
    <w:rsid w:val="00DE0C1D"/>
    <w:rsid w:val="00DE0C48"/>
    <w:rsid w:val="00DE0D17"/>
    <w:rsid w:val="00DE0D9E"/>
    <w:rsid w:val="00DE0FC3"/>
    <w:rsid w:val="00DE112E"/>
    <w:rsid w:val="00DE113C"/>
    <w:rsid w:val="00DE1230"/>
    <w:rsid w:val="00DE12F7"/>
    <w:rsid w:val="00DE133F"/>
    <w:rsid w:val="00DE13B2"/>
    <w:rsid w:val="00DE1514"/>
    <w:rsid w:val="00DE169F"/>
    <w:rsid w:val="00DE1715"/>
    <w:rsid w:val="00DE17B6"/>
    <w:rsid w:val="00DE17D9"/>
    <w:rsid w:val="00DE18E6"/>
    <w:rsid w:val="00DE18E9"/>
    <w:rsid w:val="00DE1BC7"/>
    <w:rsid w:val="00DE2337"/>
    <w:rsid w:val="00DE234E"/>
    <w:rsid w:val="00DE2415"/>
    <w:rsid w:val="00DE246B"/>
    <w:rsid w:val="00DE24F9"/>
    <w:rsid w:val="00DE2624"/>
    <w:rsid w:val="00DE272A"/>
    <w:rsid w:val="00DE295D"/>
    <w:rsid w:val="00DE2BF7"/>
    <w:rsid w:val="00DE2CBD"/>
    <w:rsid w:val="00DE2D2F"/>
    <w:rsid w:val="00DE2DEF"/>
    <w:rsid w:val="00DE2E34"/>
    <w:rsid w:val="00DE2EBE"/>
    <w:rsid w:val="00DE2EF0"/>
    <w:rsid w:val="00DE2FD2"/>
    <w:rsid w:val="00DE33E8"/>
    <w:rsid w:val="00DE3559"/>
    <w:rsid w:val="00DE357B"/>
    <w:rsid w:val="00DE35B8"/>
    <w:rsid w:val="00DE369C"/>
    <w:rsid w:val="00DE36EB"/>
    <w:rsid w:val="00DE370C"/>
    <w:rsid w:val="00DE371F"/>
    <w:rsid w:val="00DE3C60"/>
    <w:rsid w:val="00DE3E57"/>
    <w:rsid w:val="00DE3EB5"/>
    <w:rsid w:val="00DE3F03"/>
    <w:rsid w:val="00DE4028"/>
    <w:rsid w:val="00DE403C"/>
    <w:rsid w:val="00DE40A2"/>
    <w:rsid w:val="00DE4262"/>
    <w:rsid w:val="00DE4275"/>
    <w:rsid w:val="00DE42C9"/>
    <w:rsid w:val="00DE4398"/>
    <w:rsid w:val="00DE440D"/>
    <w:rsid w:val="00DE444C"/>
    <w:rsid w:val="00DE45D2"/>
    <w:rsid w:val="00DE46FC"/>
    <w:rsid w:val="00DE4770"/>
    <w:rsid w:val="00DE48AC"/>
    <w:rsid w:val="00DE4A14"/>
    <w:rsid w:val="00DE4B1B"/>
    <w:rsid w:val="00DE4B39"/>
    <w:rsid w:val="00DE4B3A"/>
    <w:rsid w:val="00DE4C8B"/>
    <w:rsid w:val="00DE4E44"/>
    <w:rsid w:val="00DE4E6F"/>
    <w:rsid w:val="00DE4F2E"/>
    <w:rsid w:val="00DE51A3"/>
    <w:rsid w:val="00DE523A"/>
    <w:rsid w:val="00DE5399"/>
    <w:rsid w:val="00DE539B"/>
    <w:rsid w:val="00DE53F5"/>
    <w:rsid w:val="00DE540A"/>
    <w:rsid w:val="00DE558B"/>
    <w:rsid w:val="00DE5693"/>
    <w:rsid w:val="00DE56CD"/>
    <w:rsid w:val="00DE588D"/>
    <w:rsid w:val="00DE5A7C"/>
    <w:rsid w:val="00DE5E25"/>
    <w:rsid w:val="00DE5FFA"/>
    <w:rsid w:val="00DE6014"/>
    <w:rsid w:val="00DE6239"/>
    <w:rsid w:val="00DE6269"/>
    <w:rsid w:val="00DE68E1"/>
    <w:rsid w:val="00DE693C"/>
    <w:rsid w:val="00DE6972"/>
    <w:rsid w:val="00DE6BAE"/>
    <w:rsid w:val="00DE6C77"/>
    <w:rsid w:val="00DE6C88"/>
    <w:rsid w:val="00DE6F44"/>
    <w:rsid w:val="00DE6F67"/>
    <w:rsid w:val="00DE701D"/>
    <w:rsid w:val="00DE70BB"/>
    <w:rsid w:val="00DE70C0"/>
    <w:rsid w:val="00DE7106"/>
    <w:rsid w:val="00DE743E"/>
    <w:rsid w:val="00DE747B"/>
    <w:rsid w:val="00DE74AB"/>
    <w:rsid w:val="00DE7698"/>
    <w:rsid w:val="00DE784B"/>
    <w:rsid w:val="00DE7B6D"/>
    <w:rsid w:val="00DE7BF4"/>
    <w:rsid w:val="00DE7D08"/>
    <w:rsid w:val="00DE7D0C"/>
    <w:rsid w:val="00DE7D38"/>
    <w:rsid w:val="00DE7DE0"/>
    <w:rsid w:val="00DE7F5B"/>
    <w:rsid w:val="00DE7FEA"/>
    <w:rsid w:val="00DF0144"/>
    <w:rsid w:val="00DF01F8"/>
    <w:rsid w:val="00DF0306"/>
    <w:rsid w:val="00DF037D"/>
    <w:rsid w:val="00DF03CB"/>
    <w:rsid w:val="00DF03F7"/>
    <w:rsid w:val="00DF07B9"/>
    <w:rsid w:val="00DF0A7B"/>
    <w:rsid w:val="00DF0AC4"/>
    <w:rsid w:val="00DF0D13"/>
    <w:rsid w:val="00DF1008"/>
    <w:rsid w:val="00DF1027"/>
    <w:rsid w:val="00DF118E"/>
    <w:rsid w:val="00DF1265"/>
    <w:rsid w:val="00DF1695"/>
    <w:rsid w:val="00DF1847"/>
    <w:rsid w:val="00DF18F0"/>
    <w:rsid w:val="00DF1928"/>
    <w:rsid w:val="00DF1BE3"/>
    <w:rsid w:val="00DF1CC5"/>
    <w:rsid w:val="00DF1D1F"/>
    <w:rsid w:val="00DF1EF3"/>
    <w:rsid w:val="00DF1F00"/>
    <w:rsid w:val="00DF202F"/>
    <w:rsid w:val="00DF23D8"/>
    <w:rsid w:val="00DF2486"/>
    <w:rsid w:val="00DF24BB"/>
    <w:rsid w:val="00DF2654"/>
    <w:rsid w:val="00DF2A95"/>
    <w:rsid w:val="00DF2CA4"/>
    <w:rsid w:val="00DF2E75"/>
    <w:rsid w:val="00DF32A1"/>
    <w:rsid w:val="00DF32F8"/>
    <w:rsid w:val="00DF336E"/>
    <w:rsid w:val="00DF342B"/>
    <w:rsid w:val="00DF3558"/>
    <w:rsid w:val="00DF3718"/>
    <w:rsid w:val="00DF37B1"/>
    <w:rsid w:val="00DF3A95"/>
    <w:rsid w:val="00DF3BE7"/>
    <w:rsid w:val="00DF3BEA"/>
    <w:rsid w:val="00DF3C28"/>
    <w:rsid w:val="00DF3CAC"/>
    <w:rsid w:val="00DF3D2D"/>
    <w:rsid w:val="00DF3E5B"/>
    <w:rsid w:val="00DF3F4E"/>
    <w:rsid w:val="00DF3F97"/>
    <w:rsid w:val="00DF4379"/>
    <w:rsid w:val="00DF44FE"/>
    <w:rsid w:val="00DF4655"/>
    <w:rsid w:val="00DF4BB5"/>
    <w:rsid w:val="00DF4C40"/>
    <w:rsid w:val="00DF4CC4"/>
    <w:rsid w:val="00DF4D9A"/>
    <w:rsid w:val="00DF4E6E"/>
    <w:rsid w:val="00DF51A5"/>
    <w:rsid w:val="00DF51CA"/>
    <w:rsid w:val="00DF5364"/>
    <w:rsid w:val="00DF53FE"/>
    <w:rsid w:val="00DF5647"/>
    <w:rsid w:val="00DF57DC"/>
    <w:rsid w:val="00DF5863"/>
    <w:rsid w:val="00DF58E2"/>
    <w:rsid w:val="00DF595A"/>
    <w:rsid w:val="00DF5BC8"/>
    <w:rsid w:val="00DF5C6F"/>
    <w:rsid w:val="00DF5C8C"/>
    <w:rsid w:val="00DF5D1E"/>
    <w:rsid w:val="00DF5F99"/>
    <w:rsid w:val="00DF6043"/>
    <w:rsid w:val="00DF6056"/>
    <w:rsid w:val="00DF60B5"/>
    <w:rsid w:val="00DF612D"/>
    <w:rsid w:val="00DF62F9"/>
    <w:rsid w:val="00DF6847"/>
    <w:rsid w:val="00DF6948"/>
    <w:rsid w:val="00DF697A"/>
    <w:rsid w:val="00DF69AB"/>
    <w:rsid w:val="00DF6CCA"/>
    <w:rsid w:val="00DF6D58"/>
    <w:rsid w:val="00DF6DA9"/>
    <w:rsid w:val="00DF6DFF"/>
    <w:rsid w:val="00DF700B"/>
    <w:rsid w:val="00DF71A3"/>
    <w:rsid w:val="00DF7369"/>
    <w:rsid w:val="00DF74E6"/>
    <w:rsid w:val="00DF7785"/>
    <w:rsid w:val="00DF77F8"/>
    <w:rsid w:val="00DF797F"/>
    <w:rsid w:val="00DF7A0B"/>
    <w:rsid w:val="00DF7A0C"/>
    <w:rsid w:val="00DF7AEF"/>
    <w:rsid w:val="00DF7B39"/>
    <w:rsid w:val="00DF7BFF"/>
    <w:rsid w:val="00DF7C33"/>
    <w:rsid w:val="00DF7DE2"/>
    <w:rsid w:val="00DF7E3E"/>
    <w:rsid w:val="00E000DB"/>
    <w:rsid w:val="00E0017C"/>
    <w:rsid w:val="00E001B2"/>
    <w:rsid w:val="00E0027B"/>
    <w:rsid w:val="00E002B0"/>
    <w:rsid w:val="00E002E0"/>
    <w:rsid w:val="00E00600"/>
    <w:rsid w:val="00E0060A"/>
    <w:rsid w:val="00E0067D"/>
    <w:rsid w:val="00E0068E"/>
    <w:rsid w:val="00E00730"/>
    <w:rsid w:val="00E007E8"/>
    <w:rsid w:val="00E00939"/>
    <w:rsid w:val="00E00942"/>
    <w:rsid w:val="00E00988"/>
    <w:rsid w:val="00E00B23"/>
    <w:rsid w:val="00E00B44"/>
    <w:rsid w:val="00E00B9B"/>
    <w:rsid w:val="00E00CE2"/>
    <w:rsid w:val="00E00DA7"/>
    <w:rsid w:val="00E00DCF"/>
    <w:rsid w:val="00E0113B"/>
    <w:rsid w:val="00E01293"/>
    <w:rsid w:val="00E014D4"/>
    <w:rsid w:val="00E01541"/>
    <w:rsid w:val="00E016CB"/>
    <w:rsid w:val="00E016E8"/>
    <w:rsid w:val="00E01C0F"/>
    <w:rsid w:val="00E01CA3"/>
    <w:rsid w:val="00E01CB8"/>
    <w:rsid w:val="00E01D1D"/>
    <w:rsid w:val="00E01D61"/>
    <w:rsid w:val="00E01DDB"/>
    <w:rsid w:val="00E022C3"/>
    <w:rsid w:val="00E02364"/>
    <w:rsid w:val="00E023E2"/>
    <w:rsid w:val="00E02540"/>
    <w:rsid w:val="00E026D8"/>
    <w:rsid w:val="00E02852"/>
    <w:rsid w:val="00E028FB"/>
    <w:rsid w:val="00E029D6"/>
    <w:rsid w:val="00E02BE5"/>
    <w:rsid w:val="00E02C2C"/>
    <w:rsid w:val="00E02C6B"/>
    <w:rsid w:val="00E02ED3"/>
    <w:rsid w:val="00E02F38"/>
    <w:rsid w:val="00E03175"/>
    <w:rsid w:val="00E0325A"/>
    <w:rsid w:val="00E0330D"/>
    <w:rsid w:val="00E0336B"/>
    <w:rsid w:val="00E03418"/>
    <w:rsid w:val="00E0359C"/>
    <w:rsid w:val="00E03638"/>
    <w:rsid w:val="00E036E7"/>
    <w:rsid w:val="00E03884"/>
    <w:rsid w:val="00E03899"/>
    <w:rsid w:val="00E038A0"/>
    <w:rsid w:val="00E03AE8"/>
    <w:rsid w:val="00E03D96"/>
    <w:rsid w:val="00E03E86"/>
    <w:rsid w:val="00E0428E"/>
    <w:rsid w:val="00E042E7"/>
    <w:rsid w:val="00E04600"/>
    <w:rsid w:val="00E04811"/>
    <w:rsid w:val="00E04EBF"/>
    <w:rsid w:val="00E0512E"/>
    <w:rsid w:val="00E05146"/>
    <w:rsid w:val="00E05167"/>
    <w:rsid w:val="00E0530F"/>
    <w:rsid w:val="00E05745"/>
    <w:rsid w:val="00E057EE"/>
    <w:rsid w:val="00E05921"/>
    <w:rsid w:val="00E059CF"/>
    <w:rsid w:val="00E05B45"/>
    <w:rsid w:val="00E05B9D"/>
    <w:rsid w:val="00E05D2E"/>
    <w:rsid w:val="00E05E8B"/>
    <w:rsid w:val="00E05FFC"/>
    <w:rsid w:val="00E0620C"/>
    <w:rsid w:val="00E06234"/>
    <w:rsid w:val="00E066BD"/>
    <w:rsid w:val="00E06813"/>
    <w:rsid w:val="00E06921"/>
    <w:rsid w:val="00E06A4E"/>
    <w:rsid w:val="00E06A7C"/>
    <w:rsid w:val="00E06AA6"/>
    <w:rsid w:val="00E06ADC"/>
    <w:rsid w:val="00E06ADD"/>
    <w:rsid w:val="00E06DE5"/>
    <w:rsid w:val="00E06E94"/>
    <w:rsid w:val="00E06F61"/>
    <w:rsid w:val="00E06FE1"/>
    <w:rsid w:val="00E0712D"/>
    <w:rsid w:val="00E07218"/>
    <w:rsid w:val="00E0722D"/>
    <w:rsid w:val="00E07248"/>
    <w:rsid w:val="00E073D4"/>
    <w:rsid w:val="00E07446"/>
    <w:rsid w:val="00E077E1"/>
    <w:rsid w:val="00E07802"/>
    <w:rsid w:val="00E07B22"/>
    <w:rsid w:val="00E07CED"/>
    <w:rsid w:val="00E07E73"/>
    <w:rsid w:val="00E10012"/>
    <w:rsid w:val="00E100AE"/>
    <w:rsid w:val="00E1016C"/>
    <w:rsid w:val="00E101F6"/>
    <w:rsid w:val="00E10243"/>
    <w:rsid w:val="00E10372"/>
    <w:rsid w:val="00E1046F"/>
    <w:rsid w:val="00E105E9"/>
    <w:rsid w:val="00E107B9"/>
    <w:rsid w:val="00E10947"/>
    <w:rsid w:val="00E10ADE"/>
    <w:rsid w:val="00E10AF7"/>
    <w:rsid w:val="00E10B03"/>
    <w:rsid w:val="00E10CCB"/>
    <w:rsid w:val="00E10E0F"/>
    <w:rsid w:val="00E10F91"/>
    <w:rsid w:val="00E1104C"/>
    <w:rsid w:val="00E110DD"/>
    <w:rsid w:val="00E11125"/>
    <w:rsid w:val="00E11156"/>
    <w:rsid w:val="00E111A8"/>
    <w:rsid w:val="00E111B2"/>
    <w:rsid w:val="00E112BE"/>
    <w:rsid w:val="00E11496"/>
    <w:rsid w:val="00E115E1"/>
    <w:rsid w:val="00E116B1"/>
    <w:rsid w:val="00E116DE"/>
    <w:rsid w:val="00E11823"/>
    <w:rsid w:val="00E11840"/>
    <w:rsid w:val="00E11978"/>
    <w:rsid w:val="00E119A8"/>
    <w:rsid w:val="00E119BF"/>
    <w:rsid w:val="00E119F0"/>
    <w:rsid w:val="00E11A72"/>
    <w:rsid w:val="00E11BB3"/>
    <w:rsid w:val="00E11BE6"/>
    <w:rsid w:val="00E11F45"/>
    <w:rsid w:val="00E12021"/>
    <w:rsid w:val="00E12126"/>
    <w:rsid w:val="00E121F9"/>
    <w:rsid w:val="00E124C5"/>
    <w:rsid w:val="00E1259F"/>
    <w:rsid w:val="00E128B4"/>
    <w:rsid w:val="00E12A05"/>
    <w:rsid w:val="00E12AD9"/>
    <w:rsid w:val="00E12B38"/>
    <w:rsid w:val="00E12C89"/>
    <w:rsid w:val="00E12D22"/>
    <w:rsid w:val="00E12FE3"/>
    <w:rsid w:val="00E13352"/>
    <w:rsid w:val="00E13368"/>
    <w:rsid w:val="00E13380"/>
    <w:rsid w:val="00E135FE"/>
    <w:rsid w:val="00E13810"/>
    <w:rsid w:val="00E13905"/>
    <w:rsid w:val="00E13939"/>
    <w:rsid w:val="00E13998"/>
    <w:rsid w:val="00E13AC7"/>
    <w:rsid w:val="00E13B8C"/>
    <w:rsid w:val="00E13BE4"/>
    <w:rsid w:val="00E13DF0"/>
    <w:rsid w:val="00E13F4D"/>
    <w:rsid w:val="00E13FE4"/>
    <w:rsid w:val="00E14364"/>
    <w:rsid w:val="00E143A1"/>
    <w:rsid w:val="00E143A9"/>
    <w:rsid w:val="00E143BD"/>
    <w:rsid w:val="00E1457A"/>
    <w:rsid w:val="00E145B3"/>
    <w:rsid w:val="00E14792"/>
    <w:rsid w:val="00E147C5"/>
    <w:rsid w:val="00E14D3B"/>
    <w:rsid w:val="00E14D67"/>
    <w:rsid w:val="00E14D81"/>
    <w:rsid w:val="00E14F12"/>
    <w:rsid w:val="00E14F7C"/>
    <w:rsid w:val="00E1522B"/>
    <w:rsid w:val="00E152A6"/>
    <w:rsid w:val="00E152C3"/>
    <w:rsid w:val="00E15490"/>
    <w:rsid w:val="00E15512"/>
    <w:rsid w:val="00E1557A"/>
    <w:rsid w:val="00E1564E"/>
    <w:rsid w:val="00E1572D"/>
    <w:rsid w:val="00E1581F"/>
    <w:rsid w:val="00E15B46"/>
    <w:rsid w:val="00E1600E"/>
    <w:rsid w:val="00E1616F"/>
    <w:rsid w:val="00E16419"/>
    <w:rsid w:val="00E164AE"/>
    <w:rsid w:val="00E164DA"/>
    <w:rsid w:val="00E1657D"/>
    <w:rsid w:val="00E166FB"/>
    <w:rsid w:val="00E16B0D"/>
    <w:rsid w:val="00E16D18"/>
    <w:rsid w:val="00E16F4C"/>
    <w:rsid w:val="00E16FB1"/>
    <w:rsid w:val="00E172A8"/>
    <w:rsid w:val="00E172BC"/>
    <w:rsid w:val="00E172F3"/>
    <w:rsid w:val="00E17374"/>
    <w:rsid w:val="00E17496"/>
    <w:rsid w:val="00E17501"/>
    <w:rsid w:val="00E176AA"/>
    <w:rsid w:val="00E1778B"/>
    <w:rsid w:val="00E177E5"/>
    <w:rsid w:val="00E17B5C"/>
    <w:rsid w:val="00E17CBA"/>
    <w:rsid w:val="00E17E79"/>
    <w:rsid w:val="00E20051"/>
    <w:rsid w:val="00E200DB"/>
    <w:rsid w:val="00E2010D"/>
    <w:rsid w:val="00E20111"/>
    <w:rsid w:val="00E20291"/>
    <w:rsid w:val="00E202C9"/>
    <w:rsid w:val="00E204B2"/>
    <w:rsid w:val="00E20518"/>
    <w:rsid w:val="00E2085F"/>
    <w:rsid w:val="00E20A5B"/>
    <w:rsid w:val="00E210D0"/>
    <w:rsid w:val="00E2114B"/>
    <w:rsid w:val="00E211DF"/>
    <w:rsid w:val="00E21261"/>
    <w:rsid w:val="00E21283"/>
    <w:rsid w:val="00E2136B"/>
    <w:rsid w:val="00E213E8"/>
    <w:rsid w:val="00E21554"/>
    <w:rsid w:val="00E2177E"/>
    <w:rsid w:val="00E21799"/>
    <w:rsid w:val="00E217BB"/>
    <w:rsid w:val="00E2182E"/>
    <w:rsid w:val="00E21AE6"/>
    <w:rsid w:val="00E21D7E"/>
    <w:rsid w:val="00E21DE4"/>
    <w:rsid w:val="00E21EF3"/>
    <w:rsid w:val="00E2217C"/>
    <w:rsid w:val="00E221B0"/>
    <w:rsid w:val="00E223E5"/>
    <w:rsid w:val="00E224A5"/>
    <w:rsid w:val="00E2275D"/>
    <w:rsid w:val="00E2295D"/>
    <w:rsid w:val="00E229CE"/>
    <w:rsid w:val="00E22B50"/>
    <w:rsid w:val="00E22C7B"/>
    <w:rsid w:val="00E22CBC"/>
    <w:rsid w:val="00E22D34"/>
    <w:rsid w:val="00E22D42"/>
    <w:rsid w:val="00E22DB6"/>
    <w:rsid w:val="00E22E10"/>
    <w:rsid w:val="00E23036"/>
    <w:rsid w:val="00E231E6"/>
    <w:rsid w:val="00E234F5"/>
    <w:rsid w:val="00E238C1"/>
    <w:rsid w:val="00E23907"/>
    <w:rsid w:val="00E23B40"/>
    <w:rsid w:val="00E23B71"/>
    <w:rsid w:val="00E23BDE"/>
    <w:rsid w:val="00E23C0C"/>
    <w:rsid w:val="00E23D53"/>
    <w:rsid w:val="00E23E0B"/>
    <w:rsid w:val="00E23E76"/>
    <w:rsid w:val="00E23F1E"/>
    <w:rsid w:val="00E23FFD"/>
    <w:rsid w:val="00E2407F"/>
    <w:rsid w:val="00E24532"/>
    <w:rsid w:val="00E24584"/>
    <w:rsid w:val="00E24608"/>
    <w:rsid w:val="00E246F5"/>
    <w:rsid w:val="00E247CC"/>
    <w:rsid w:val="00E2485A"/>
    <w:rsid w:val="00E248E7"/>
    <w:rsid w:val="00E24BEE"/>
    <w:rsid w:val="00E24CED"/>
    <w:rsid w:val="00E24D2E"/>
    <w:rsid w:val="00E24D2F"/>
    <w:rsid w:val="00E24D78"/>
    <w:rsid w:val="00E24DDA"/>
    <w:rsid w:val="00E24E33"/>
    <w:rsid w:val="00E24E55"/>
    <w:rsid w:val="00E24EB2"/>
    <w:rsid w:val="00E25072"/>
    <w:rsid w:val="00E2512F"/>
    <w:rsid w:val="00E2513C"/>
    <w:rsid w:val="00E252B6"/>
    <w:rsid w:val="00E25360"/>
    <w:rsid w:val="00E25542"/>
    <w:rsid w:val="00E2565E"/>
    <w:rsid w:val="00E25829"/>
    <w:rsid w:val="00E258AB"/>
    <w:rsid w:val="00E2598A"/>
    <w:rsid w:val="00E25A15"/>
    <w:rsid w:val="00E25A36"/>
    <w:rsid w:val="00E25A92"/>
    <w:rsid w:val="00E25ABB"/>
    <w:rsid w:val="00E25AC3"/>
    <w:rsid w:val="00E25B7B"/>
    <w:rsid w:val="00E25B89"/>
    <w:rsid w:val="00E25B9C"/>
    <w:rsid w:val="00E25C7C"/>
    <w:rsid w:val="00E25CFD"/>
    <w:rsid w:val="00E25D55"/>
    <w:rsid w:val="00E25DCC"/>
    <w:rsid w:val="00E25EAD"/>
    <w:rsid w:val="00E2624B"/>
    <w:rsid w:val="00E2638D"/>
    <w:rsid w:val="00E26466"/>
    <w:rsid w:val="00E2656F"/>
    <w:rsid w:val="00E26741"/>
    <w:rsid w:val="00E267CF"/>
    <w:rsid w:val="00E267F3"/>
    <w:rsid w:val="00E268CB"/>
    <w:rsid w:val="00E26973"/>
    <w:rsid w:val="00E26A62"/>
    <w:rsid w:val="00E26A93"/>
    <w:rsid w:val="00E26AB1"/>
    <w:rsid w:val="00E26AB4"/>
    <w:rsid w:val="00E26B8D"/>
    <w:rsid w:val="00E26BB8"/>
    <w:rsid w:val="00E26C1B"/>
    <w:rsid w:val="00E26CA8"/>
    <w:rsid w:val="00E26D82"/>
    <w:rsid w:val="00E26DAF"/>
    <w:rsid w:val="00E26E48"/>
    <w:rsid w:val="00E26E67"/>
    <w:rsid w:val="00E26ED3"/>
    <w:rsid w:val="00E26EE8"/>
    <w:rsid w:val="00E26EFD"/>
    <w:rsid w:val="00E27426"/>
    <w:rsid w:val="00E275D7"/>
    <w:rsid w:val="00E275DC"/>
    <w:rsid w:val="00E27690"/>
    <w:rsid w:val="00E278F0"/>
    <w:rsid w:val="00E279EF"/>
    <w:rsid w:val="00E27B07"/>
    <w:rsid w:val="00E27C3F"/>
    <w:rsid w:val="00E27F05"/>
    <w:rsid w:val="00E27F50"/>
    <w:rsid w:val="00E301A7"/>
    <w:rsid w:val="00E3022E"/>
    <w:rsid w:val="00E302B9"/>
    <w:rsid w:val="00E302CB"/>
    <w:rsid w:val="00E3073A"/>
    <w:rsid w:val="00E308B6"/>
    <w:rsid w:val="00E30DB3"/>
    <w:rsid w:val="00E30E10"/>
    <w:rsid w:val="00E30E84"/>
    <w:rsid w:val="00E30EC3"/>
    <w:rsid w:val="00E30F77"/>
    <w:rsid w:val="00E30F96"/>
    <w:rsid w:val="00E31138"/>
    <w:rsid w:val="00E311CB"/>
    <w:rsid w:val="00E312AC"/>
    <w:rsid w:val="00E3137C"/>
    <w:rsid w:val="00E3144F"/>
    <w:rsid w:val="00E316D7"/>
    <w:rsid w:val="00E31854"/>
    <w:rsid w:val="00E318C1"/>
    <w:rsid w:val="00E31A7F"/>
    <w:rsid w:val="00E31BD6"/>
    <w:rsid w:val="00E31CB3"/>
    <w:rsid w:val="00E31EB1"/>
    <w:rsid w:val="00E320C0"/>
    <w:rsid w:val="00E32269"/>
    <w:rsid w:val="00E3235D"/>
    <w:rsid w:val="00E3270E"/>
    <w:rsid w:val="00E32BDE"/>
    <w:rsid w:val="00E32DDF"/>
    <w:rsid w:val="00E32E06"/>
    <w:rsid w:val="00E32EC3"/>
    <w:rsid w:val="00E32F3B"/>
    <w:rsid w:val="00E32FA0"/>
    <w:rsid w:val="00E33002"/>
    <w:rsid w:val="00E3317B"/>
    <w:rsid w:val="00E33207"/>
    <w:rsid w:val="00E333DB"/>
    <w:rsid w:val="00E33583"/>
    <w:rsid w:val="00E33594"/>
    <w:rsid w:val="00E3361A"/>
    <w:rsid w:val="00E33659"/>
    <w:rsid w:val="00E33675"/>
    <w:rsid w:val="00E33772"/>
    <w:rsid w:val="00E3385E"/>
    <w:rsid w:val="00E33A3D"/>
    <w:rsid w:val="00E33A48"/>
    <w:rsid w:val="00E33C60"/>
    <w:rsid w:val="00E33D6A"/>
    <w:rsid w:val="00E33DAB"/>
    <w:rsid w:val="00E33EA6"/>
    <w:rsid w:val="00E342A8"/>
    <w:rsid w:val="00E3448E"/>
    <w:rsid w:val="00E34513"/>
    <w:rsid w:val="00E34639"/>
    <w:rsid w:val="00E347A6"/>
    <w:rsid w:val="00E3491C"/>
    <w:rsid w:val="00E34A22"/>
    <w:rsid w:val="00E34A2F"/>
    <w:rsid w:val="00E34A45"/>
    <w:rsid w:val="00E34A7E"/>
    <w:rsid w:val="00E34B6E"/>
    <w:rsid w:val="00E34C01"/>
    <w:rsid w:val="00E34D02"/>
    <w:rsid w:val="00E34E1A"/>
    <w:rsid w:val="00E34E5A"/>
    <w:rsid w:val="00E34EBF"/>
    <w:rsid w:val="00E34FB7"/>
    <w:rsid w:val="00E35189"/>
    <w:rsid w:val="00E356AC"/>
    <w:rsid w:val="00E35804"/>
    <w:rsid w:val="00E35840"/>
    <w:rsid w:val="00E35933"/>
    <w:rsid w:val="00E35980"/>
    <w:rsid w:val="00E35AFE"/>
    <w:rsid w:val="00E35CBD"/>
    <w:rsid w:val="00E35D8F"/>
    <w:rsid w:val="00E3602A"/>
    <w:rsid w:val="00E360EE"/>
    <w:rsid w:val="00E36106"/>
    <w:rsid w:val="00E362C3"/>
    <w:rsid w:val="00E36404"/>
    <w:rsid w:val="00E364AD"/>
    <w:rsid w:val="00E364DE"/>
    <w:rsid w:val="00E36622"/>
    <w:rsid w:val="00E366CE"/>
    <w:rsid w:val="00E368DE"/>
    <w:rsid w:val="00E369C2"/>
    <w:rsid w:val="00E369F4"/>
    <w:rsid w:val="00E36A4A"/>
    <w:rsid w:val="00E36ACE"/>
    <w:rsid w:val="00E36B5C"/>
    <w:rsid w:val="00E36C4F"/>
    <w:rsid w:val="00E36DDE"/>
    <w:rsid w:val="00E370E1"/>
    <w:rsid w:val="00E3717C"/>
    <w:rsid w:val="00E37218"/>
    <w:rsid w:val="00E37241"/>
    <w:rsid w:val="00E37465"/>
    <w:rsid w:val="00E3752D"/>
    <w:rsid w:val="00E3754A"/>
    <w:rsid w:val="00E3765A"/>
    <w:rsid w:val="00E3767A"/>
    <w:rsid w:val="00E3775B"/>
    <w:rsid w:val="00E377A9"/>
    <w:rsid w:val="00E37938"/>
    <w:rsid w:val="00E37A1F"/>
    <w:rsid w:val="00E37BE7"/>
    <w:rsid w:val="00E37E6B"/>
    <w:rsid w:val="00E4009F"/>
    <w:rsid w:val="00E403EA"/>
    <w:rsid w:val="00E4086B"/>
    <w:rsid w:val="00E409C3"/>
    <w:rsid w:val="00E40A9A"/>
    <w:rsid w:val="00E40AEE"/>
    <w:rsid w:val="00E40CBE"/>
    <w:rsid w:val="00E41091"/>
    <w:rsid w:val="00E411FC"/>
    <w:rsid w:val="00E41223"/>
    <w:rsid w:val="00E4128B"/>
    <w:rsid w:val="00E4165E"/>
    <w:rsid w:val="00E4171E"/>
    <w:rsid w:val="00E418C4"/>
    <w:rsid w:val="00E419A0"/>
    <w:rsid w:val="00E41BC9"/>
    <w:rsid w:val="00E41F09"/>
    <w:rsid w:val="00E41F6D"/>
    <w:rsid w:val="00E41F97"/>
    <w:rsid w:val="00E420C3"/>
    <w:rsid w:val="00E42282"/>
    <w:rsid w:val="00E42392"/>
    <w:rsid w:val="00E4251E"/>
    <w:rsid w:val="00E429E9"/>
    <w:rsid w:val="00E42AE6"/>
    <w:rsid w:val="00E42B33"/>
    <w:rsid w:val="00E42C10"/>
    <w:rsid w:val="00E42E15"/>
    <w:rsid w:val="00E42F42"/>
    <w:rsid w:val="00E43025"/>
    <w:rsid w:val="00E4318B"/>
    <w:rsid w:val="00E43482"/>
    <w:rsid w:val="00E4349D"/>
    <w:rsid w:val="00E43688"/>
    <w:rsid w:val="00E436C5"/>
    <w:rsid w:val="00E4387F"/>
    <w:rsid w:val="00E43992"/>
    <w:rsid w:val="00E43A99"/>
    <w:rsid w:val="00E43AD9"/>
    <w:rsid w:val="00E43B7C"/>
    <w:rsid w:val="00E43C05"/>
    <w:rsid w:val="00E43C19"/>
    <w:rsid w:val="00E43CB1"/>
    <w:rsid w:val="00E43F0B"/>
    <w:rsid w:val="00E43F3E"/>
    <w:rsid w:val="00E43F70"/>
    <w:rsid w:val="00E44332"/>
    <w:rsid w:val="00E44359"/>
    <w:rsid w:val="00E44660"/>
    <w:rsid w:val="00E447BB"/>
    <w:rsid w:val="00E44871"/>
    <w:rsid w:val="00E449BF"/>
    <w:rsid w:val="00E44A79"/>
    <w:rsid w:val="00E44D05"/>
    <w:rsid w:val="00E44DCA"/>
    <w:rsid w:val="00E44EEC"/>
    <w:rsid w:val="00E44F22"/>
    <w:rsid w:val="00E45116"/>
    <w:rsid w:val="00E45278"/>
    <w:rsid w:val="00E453AC"/>
    <w:rsid w:val="00E45580"/>
    <w:rsid w:val="00E456A4"/>
    <w:rsid w:val="00E45709"/>
    <w:rsid w:val="00E4586D"/>
    <w:rsid w:val="00E4593D"/>
    <w:rsid w:val="00E45A05"/>
    <w:rsid w:val="00E45A58"/>
    <w:rsid w:val="00E45D47"/>
    <w:rsid w:val="00E45DBF"/>
    <w:rsid w:val="00E45EE8"/>
    <w:rsid w:val="00E45EFC"/>
    <w:rsid w:val="00E46001"/>
    <w:rsid w:val="00E460CC"/>
    <w:rsid w:val="00E460FE"/>
    <w:rsid w:val="00E462FC"/>
    <w:rsid w:val="00E46461"/>
    <w:rsid w:val="00E46490"/>
    <w:rsid w:val="00E468DE"/>
    <w:rsid w:val="00E46C0B"/>
    <w:rsid w:val="00E46C57"/>
    <w:rsid w:val="00E46F10"/>
    <w:rsid w:val="00E4711A"/>
    <w:rsid w:val="00E47172"/>
    <w:rsid w:val="00E4717D"/>
    <w:rsid w:val="00E471E8"/>
    <w:rsid w:val="00E473A4"/>
    <w:rsid w:val="00E473DA"/>
    <w:rsid w:val="00E47882"/>
    <w:rsid w:val="00E478E1"/>
    <w:rsid w:val="00E47A40"/>
    <w:rsid w:val="00E47A58"/>
    <w:rsid w:val="00E47A9A"/>
    <w:rsid w:val="00E47AC9"/>
    <w:rsid w:val="00E47BF4"/>
    <w:rsid w:val="00E47C94"/>
    <w:rsid w:val="00E47DE1"/>
    <w:rsid w:val="00E47E66"/>
    <w:rsid w:val="00E501EB"/>
    <w:rsid w:val="00E50266"/>
    <w:rsid w:val="00E502C6"/>
    <w:rsid w:val="00E50404"/>
    <w:rsid w:val="00E50548"/>
    <w:rsid w:val="00E5068E"/>
    <w:rsid w:val="00E506F2"/>
    <w:rsid w:val="00E507DF"/>
    <w:rsid w:val="00E50838"/>
    <w:rsid w:val="00E50844"/>
    <w:rsid w:val="00E50915"/>
    <w:rsid w:val="00E50C39"/>
    <w:rsid w:val="00E50C8E"/>
    <w:rsid w:val="00E50C94"/>
    <w:rsid w:val="00E50EDD"/>
    <w:rsid w:val="00E51125"/>
    <w:rsid w:val="00E514AA"/>
    <w:rsid w:val="00E514C2"/>
    <w:rsid w:val="00E51566"/>
    <w:rsid w:val="00E515D4"/>
    <w:rsid w:val="00E515F6"/>
    <w:rsid w:val="00E517BD"/>
    <w:rsid w:val="00E519D4"/>
    <w:rsid w:val="00E51AD9"/>
    <w:rsid w:val="00E51B60"/>
    <w:rsid w:val="00E51B74"/>
    <w:rsid w:val="00E51CDD"/>
    <w:rsid w:val="00E51EBE"/>
    <w:rsid w:val="00E523E8"/>
    <w:rsid w:val="00E52569"/>
    <w:rsid w:val="00E52669"/>
    <w:rsid w:val="00E52708"/>
    <w:rsid w:val="00E52775"/>
    <w:rsid w:val="00E5287E"/>
    <w:rsid w:val="00E52A93"/>
    <w:rsid w:val="00E52C00"/>
    <w:rsid w:val="00E52DCB"/>
    <w:rsid w:val="00E52E7E"/>
    <w:rsid w:val="00E52E8A"/>
    <w:rsid w:val="00E52F08"/>
    <w:rsid w:val="00E52F2E"/>
    <w:rsid w:val="00E52F86"/>
    <w:rsid w:val="00E5330C"/>
    <w:rsid w:val="00E53321"/>
    <w:rsid w:val="00E5332D"/>
    <w:rsid w:val="00E534C2"/>
    <w:rsid w:val="00E535CA"/>
    <w:rsid w:val="00E53654"/>
    <w:rsid w:val="00E5377F"/>
    <w:rsid w:val="00E5391A"/>
    <w:rsid w:val="00E53B87"/>
    <w:rsid w:val="00E5407C"/>
    <w:rsid w:val="00E54089"/>
    <w:rsid w:val="00E54280"/>
    <w:rsid w:val="00E545C4"/>
    <w:rsid w:val="00E54846"/>
    <w:rsid w:val="00E548B6"/>
    <w:rsid w:val="00E54904"/>
    <w:rsid w:val="00E5497D"/>
    <w:rsid w:val="00E54B49"/>
    <w:rsid w:val="00E54C37"/>
    <w:rsid w:val="00E54EB0"/>
    <w:rsid w:val="00E55139"/>
    <w:rsid w:val="00E553C3"/>
    <w:rsid w:val="00E55513"/>
    <w:rsid w:val="00E55515"/>
    <w:rsid w:val="00E55943"/>
    <w:rsid w:val="00E55C3B"/>
    <w:rsid w:val="00E55E9A"/>
    <w:rsid w:val="00E560A9"/>
    <w:rsid w:val="00E560B6"/>
    <w:rsid w:val="00E56152"/>
    <w:rsid w:val="00E56240"/>
    <w:rsid w:val="00E56316"/>
    <w:rsid w:val="00E56406"/>
    <w:rsid w:val="00E568C0"/>
    <w:rsid w:val="00E569D2"/>
    <w:rsid w:val="00E56C33"/>
    <w:rsid w:val="00E56CB8"/>
    <w:rsid w:val="00E56E3D"/>
    <w:rsid w:val="00E57014"/>
    <w:rsid w:val="00E57282"/>
    <w:rsid w:val="00E57549"/>
    <w:rsid w:val="00E575A5"/>
    <w:rsid w:val="00E575D0"/>
    <w:rsid w:val="00E577D2"/>
    <w:rsid w:val="00E57AD0"/>
    <w:rsid w:val="00E57C42"/>
    <w:rsid w:val="00E57CDA"/>
    <w:rsid w:val="00E57D75"/>
    <w:rsid w:val="00E57EDF"/>
    <w:rsid w:val="00E60082"/>
    <w:rsid w:val="00E601D1"/>
    <w:rsid w:val="00E602CC"/>
    <w:rsid w:val="00E604A8"/>
    <w:rsid w:val="00E60556"/>
    <w:rsid w:val="00E60649"/>
    <w:rsid w:val="00E60662"/>
    <w:rsid w:val="00E60828"/>
    <w:rsid w:val="00E6082B"/>
    <w:rsid w:val="00E608BC"/>
    <w:rsid w:val="00E6094D"/>
    <w:rsid w:val="00E60AF9"/>
    <w:rsid w:val="00E60B88"/>
    <w:rsid w:val="00E60C7A"/>
    <w:rsid w:val="00E60C96"/>
    <w:rsid w:val="00E60DE2"/>
    <w:rsid w:val="00E60F6C"/>
    <w:rsid w:val="00E60FF5"/>
    <w:rsid w:val="00E61075"/>
    <w:rsid w:val="00E61172"/>
    <w:rsid w:val="00E61404"/>
    <w:rsid w:val="00E6176A"/>
    <w:rsid w:val="00E6183A"/>
    <w:rsid w:val="00E61926"/>
    <w:rsid w:val="00E6194B"/>
    <w:rsid w:val="00E61A14"/>
    <w:rsid w:val="00E61B46"/>
    <w:rsid w:val="00E61BBF"/>
    <w:rsid w:val="00E61C61"/>
    <w:rsid w:val="00E61CAC"/>
    <w:rsid w:val="00E61E6D"/>
    <w:rsid w:val="00E61E77"/>
    <w:rsid w:val="00E61EC7"/>
    <w:rsid w:val="00E61F93"/>
    <w:rsid w:val="00E621AE"/>
    <w:rsid w:val="00E622DB"/>
    <w:rsid w:val="00E62371"/>
    <w:rsid w:val="00E62430"/>
    <w:rsid w:val="00E62593"/>
    <w:rsid w:val="00E6259F"/>
    <w:rsid w:val="00E62634"/>
    <w:rsid w:val="00E627CA"/>
    <w:rsid w:val="00E62A8A"/>
    <w:rsid w:val="00E62C77"/>
    <w:rsid w:val="00E62D26"/>
    <w:rsid w:val="00E62D75"/>
    <w:rsid w:val="00E62F48"/>
    <w:rsid w:val="00E62F6A"/>
    <w:rsid w:val="00E632BB"/>
    <w:rsid w:val="00E63329"/>
    <w:rsid w:val="00E633A2"/>
    <w:rsid w:val="00E6340C"/>
    <w:rsid w:val="00E634B4"/>
    <w:rsid w:val="00E6353F"/>
    <w:rsid w:val="00E6360D"/>
    <w:rsid w:val="00E6372F"/>
    <w:rsid w:val="00E6376B"/>
    <w:rsid w:val="00E637DB"/>
    <w:rsid w:val="00E639A0"/>
    <w:rsid w:val="00E63A31"/>
    <w:rsid w:val="00E63B6E"/>
    <w:rsid w:val="00E63BB2"/>
    <w:rsid w:val="00E63CB1"/>
    <w:rsid w:val="00E63DA6"/>
    <w:rsid w:val="00E63DE1"/>
    <w:rsid w:val="00E642CF"/>
    <w:rsid w:val="00E6434B"/>
    <w:rsid w:val="00E64397"/>
    <w:rsid w:val="00E6440E"/>
    <w:rsid w:val="00E64500"/>
    <w:rsid w:val="00E6460A"/>
    <w:rsid w:val="00E6464B"/>
    <w:rsid w:val="00E646C9"/>
    <w:rsid w:val="00E646D1"/>
    <w:rsid w:val="00E64733"/>
    <w:rsid w:val="00E64828"/>
    <w:rsid w:val="00E6495A"/>
    <w:rsid w:val="00E64B8B"/>
    <w:rsid w:val="00E64D14"/>
    <w:rsid w:val="00E64D38"/>
    <w:rsid w:val="00E64D55"/>
    <w:rsid w:val="00E64DD6"/>
    <w:rsid w:val="00E64F35"/>
    <w:rsid w:val="00E64F80"/>
    <w:rsid w:val="00E65161"/>
    <w:rsid w:val="00E6521D"/>
    <w:rsid w:val="00E6527A"/>
    <w:rsid w:val="00E652EB"/>
    <w:rsid w:val="00E6548F"/>
    <w:rsid w:val="00E654D6"/>
    <w:rsid w:val="00E6556C"/>
    <w:rsid w:val="00E655E1"/>
    <w:rsid w:val="00E65717"/>
    <w:rsid w:val="00E6577B"/>
    <w:rsid w:val="00E6587F"/>
    <w:rsid w:val="00E6590F"/>
    <w:rsid w:val="00E65AB2"/>
    <w:rsid w:val="00E65AF1"/>
    <w:rsid w:val="00E65BFA"/>
    <w:rsid w:val="00E65C60"/>
    <w:rsid w:val="00E6635D"/>
    <w:rsid w:val="00E66392"/>
    <w:rsid w:val="00E6641A"/>
    <w:rsid w:val="00E66455"/>
    <w:rsid w:val="00E665B1"/>
    <w:rsid w:val="00E6690D"/>
    <w:rsid w:val="00E669B3"/>
    <w:rsid w:val="00E66C9C"/>
    <w:rsid w:val="00E66E08"/>
    <w:rsid w:val="00E66E87"/>
    <w:rsid w:val="00E67076"/>
    <w:rsid w:val="00E6708E"/>
    <w:rsid w:val="00E6758D"/>
    <w:rsid w:val="00E6769D"/>
    <w:rsid w:val="00E67851"/>
    <w:rsid w:val="00E67A06"/>
    <w:rsid w:val="00E67B09"/>
    <w:rsid w:val="00E67BD1"/>
    <w:rsid w:val="00E67D9A"/>
    <w:rsid w:val="00E67E7D"/>
    <w:rsid w:val="00E67F63"/>
    <w:rsid w:val="00E67F7D"/>
    <w:rsid w:val="00E704D5"/>
    <w:rsid w:val="00E70523"/>
    <w:rsid w:val="00E7074B"/>
    <w:rsid w:val="00E707EF"/>
    <w:rsid w:val="00E7097B"/>
    <w:rsid w:val="00E70999"/>
    <w:rsid w:val="00E70A71"/>
    <w:rsid w:val="00E70C33"/>
    <w:rsid w:val="00E70CCE"/>
    <w:rsid w:val="00E70EA3"/>
    <w:rsid w:val="00E70EA5"/>
    <w:rsid w:val="00E70F35"/>
    <w:rsid w:val="00E70FFB"/>
    <w:rsid w:val="00E71033"/>
    <w:rsid w:val="00E711D5"/>
    <w:rsid w:val="00E71275"/>
    <w:rsid w:val="00E71399"/>
    <w:rsid w:val="00E7165F"/>
    <w:rsid w:val="00E716EA"/>
    <w:rsid w:val="00E71813"/>
    <w:rsid w:val="00E719B4"/>
    <w:rsid w:val="00E71BD2"/>
    <w:rsid w:val="00E71CDE"/>
    <w:rsid w:val="00E71DC7"/>
    <w:rsid w:val="00E7218E"/>
    <w:rsid w:val="00E72200"/>
    <w:rsid w:val="00E72784"/>
    <w:rsid w:val="00E72A84"/>
    <w:rsid w:val="00E72AE6"/>
    <w:rsid w:val="00E72B65"/>
    <w:rsid w:val="00E72CA7"/>
    <w:rsid w:val="00E7318F"/>
    <w:rsid w:val="00E73349"/>
    <w:rsid w:val="00E73471"/>
    <w:rsid w:val="00E735C6"/>
    <w:rsid w:val="00E735F6"/>
    <w:rsid w:val="00E7378A"/>
    <w:rsid w:val="00E737C3"/>
    <w:rsid w:val="00E7380B"/>
    <w:rsid w:val="00E73840"/>
    <w:rsid w:val="00E738E3"/>
    <w:rsid w:val="00E738FF"/>
    <w:rsid w:val="00E7394F"/>
    <w:rsid w:val="00E73E5F"/>
    <w:rsid w:val="00E73EC3"/>
    <w:rsid w:val="00E73ECA"/>
    <w:rsid w:val="00E74345"/>
    <w:rsid w:val="00E74576"/>
    <w:rsid w:val="00E745F6"/>
    <w:rsid w:val="00E746A5"/>
    <w:rsid w:val="00E746C1"/>
    <w:rsid w:val="00E7472F"/>
    <w:rsid w:val="00E7474E"/>
    <w:rsid w:val="00E7499B"/>
    <w:rsid w:val="00E74CA4"/>
    <w:rsid w:val="00E74CEC"/>
    <w:rsid w:val="00E74CF7"/>
    <w:rsid w:val="00E74E06"/>
    <w:rsid w:val="00E74F38"/>
    <w:rsid w:val="00E75058"/>
    <w:rsid w:val="00E75282"/>
    <w:rsid w:val="00E7529D"/>
    <w:rsid w:val="00E752FD"/>
    <w:rsid w:val="00E75335"/>
    <w:rsid w:val="00E75531"/>
    <w:rsid w:val="00E756FF"/>
    <w:rsid w:val="00E7586B"/>
    <w:rsid w:val="00E75A5C"/>
    <w:rsid w:val="00E75A96"/>
    <w:rsid w:val="00E75C40"/>
    <w:rsid w:val="00E75F14"/>
    <w:rsid w:val="00E75F59"/>
    <w:rsid w:val="00E75FDC"/>
    <w:rsid w:val="00E76005"/>
    <w:rsid w:val="00E76176"/>
    <w:rsid w:val="00E7620C"/>
    <w:rsid w:val="00E76256"/>
    <w:rsid w:val="00E763EE"/>
    <w:rsid w:val="00E764E8"/>
    <w:rsid w:val="00E7651A"/>
    <w:rsid w:val="00E76599"/>
    <w:rsid w:val="00E766E2"/>
    <w:rsid w:val="00E76779"/>
    <w:rsid w:val="00E767B4"/>
    <w:rsid w:val="00E767FD"/>
    <w:rsid w:val="00E7682A"/>
    <w:rsid w:val="00E7685C"/>
    <w:rsid w:val="00E768A8"/>
    <w:rsid w:val="00E768C0"/>
    <w:rsid w:val="00E76B53"/>
    <w:rsid w:val="00E76C3D"/>
    <w:rsid w:val="00E76C9C"/>
    <w:rsid w:val="00E76D36"/>
    <w:rsid w:val="00E76D3F"/>
    <w:rsid w:val="00E76DAD"/>
    <w:rsid w:val="00E76DBF"/>
    <w:rsid w:val="00E76EE6"/>
    <w:rsid w:val="00E76EF0"/>
    <w:rsid w:val="00E77120"/>
    <w:rsid w:val="00E77372"/>
    <w:rsid w:val="00E775FF"/>
    <w:rsid w:val="00E77640"/>
    <w:rsid w:val="00E77907"/>
    <w:rsid w:val="00E77BEB"/>
    <w:rsid w:val="00E77C31"/>
    <w:rsid w:val="00E77E06"/>
    <w:rsid w:val="00E8001A"/>
    <w:rsid w:val="00E800B9"/>
    <w:rsid w:val="00E80103"/>
    <w:rsid w:val="00E8032D"/>
    <w:rsid w:val="00E80343"/>
    <w:rsid w:val="00E80381"/>
    <w:rsid w:val="00E80541"/>
    <w:rsid w:val="00E8055E"/>
    <w:rsid w:val="00E80570"/>
    <w:rsid w:val="00E806CB"/>
    <w:rsid w:val="00E806FC"/>
    <w:rsid w:val="00E807D8"/>
    <w:rsid w:val="00E808B3"/>
    <w:rsid w:val="00E809D7"/>
    <w:rsid w:val="00E80AEE"/>
    <w:rsid w:val="00E80CEF"/>
    <w:rsid w:val="00E80F24"/>
    <w:rsid w:val="00E810BA"/>
    <w:rsid w:val="00E8129A"/>
    <w:rsid w:val="00E81383"/>
    <w:rsid w:val="00E813EA"/>
    <w:rsid w:val="00E81529"/>
    <w:rsid w:val="00E8165C"/>
    <w:rsid w:val="00E816BA"/>
    <w:rsid w:val="00E819FB"/>
    <w:rsid w:val="00E81A5F"/>
    <w:rsid w:val="00E81CC8"/>
    <w:rsid w:val="00E81D01"/>
    <w:rsid w:val="00E81DF1"/>
    <w:rsid w:val="00E81E00"/>
    <w:rsid w:val="00E81E2E"/>
    <w:rsid w:val="00E81E8E"/>
    <w:rsid w:val="00E8205E"/>
    <w:rsid w:val="00E8214D"/>
    <w:rsid w:val="00E823E6"/>
    <w:rsid w:val="00E82415"/>
    <w:rsid w:val="00E8241B"/>
    <w:rsid w:val="00E82509"/>
    <w:rsid w:val="00E82596"/>
    <w:rsid w:val="00E825DE"/>
    <w:rsid w:val="00E825EC"/>
    <w:rsid w:val="00E826EE"/>
    <w:rsid w:val="00E8274C"/>
    <w:rsid w:val="00E82A83"/>
    <w:rsid w:val="00E82B98"/>
    <w:rsid w:val="00E82E21"/>
    <w:rsid w:val="00E82E39"/>
    <w:rsid w:val="00E83228"/>
    <w:rsid w:val="00E83230"/>
    <w:rsid w:val="00E83265"/>
    <w:rsid w:val="00E83300"/>
    <w:rsid w:val="00E8333F"/>
    <w:rsid w:val="00E8341C"/>
    <w:rsid w:val="00E834D8"/>
    <w:rsid w:val="00E83629"/>
    <w:rsid w:val="00E83722"/>
    <w:rsid w:val="00E83918"/>
    <w:rsid w:val="00E83ADE"/>
    <w:rsid w:val="00E83B9B"/>
    <w:rsid w:val="00E83E00"/>
    <w:rsid w:val="00E83F7D"/>
    <w:rsid w:val="00E83FC6"/>
    <w:rsid w:val="00E84069"/>
    <w:rsid w:val="00E84418"/>
    <w:rsid w:val="00E84884"/>
    <w:rsid w:val="00E848B0"/>
    <w:rsid w:val="00E8497A"/>
    <w:rsid w:val="00E849BB"/>
    <w:rsid w:val="00E84B18"/>
    <w:rsid w:val="00E84B21"/>
    <w:rsid w:val="00E850CB"/>
    <w:rsid w:val="00E850EF"/>
    <w:rsid w:val="00E85231"/>
    <w:rsid w:val="00E8537E"/>
    <w:rsid w:val="00E853DD"/>
    <w:rsid w:val="00E8548C"/>
    <w:rsid w:val="00E8552F"/>
    <w:rsid w:val="00E85619"/>
    <w:rsid w:val="00E85645"/>
    <w:rsid w:val="00E85AED"/>
    <w:rsid w:val="00E85B96"/>
    <w:rsid w:val="00E85CC0"/>
    <w:rsid w:val="00E85EC4"/>
    <w:rsid w:val="00E85FB0"/>
    <w:rsid w:val="00E86023"/>
    <w:rsid w:val="00E861AC"/>
    <w:rsid w:val="00E862D2"/>
    <w:rsid w:val="00E8645D"/>
    <w:rsid w:val="00E866A6"/>
    <w:rsid w:val="00E86998"/>
    <w:rsid w:val="00E86B77"/>
    <w:rsid w:val="00E86CF1"/>
    <w:rsid w:val="00E86E24"/>
    <w:rsid w:val="00E86E4F"/>
    <w:rsid w:val="00E8709E"/>
    <w:rsid w:val="00E87254"/>
    <w:rsid w:val="00E87458"/>
    <w:rsid w:val="00E876DB"/>
    <w:rsid w:val="00E87794"/>
    <w:rsid w:val="00E87844"/>
    <w:rsid w:val="00E87868"/>
    <w:rsid w:val="00E8786B"/>
    <w:rsid w:val="00E87D51"/>
    <w:rsid w:val="00E87D9A"/>
    <w:rsid w:val="00E87DB8"/>
    <w:rsid w:val="00E87EA2"/>
    <w:rsid w:val="00E87F26"/>
    <w:rsid w:val="00E9031A"/>
    <w:rsid w:val="00E9041B"/>
    <w:rsid w:val="00E90453"/>
    <w:rsid w:val="00E90652"/>
    <w:rsid w:val="00E906A8"/>
    <w:rsid w:val="00E90756"/>
    <w:rsid w:val="00E909A4"/>
    <w:rsid w:val="00E90D34"/>
    <w:rsid w:val="00E90DDA"/>
    <w:rsid w:val="00E90E21"/>
    <w:rsid w:val="00E90E4F"/>
    <w:rsid w:val="00E90F21"/>
    <w:rsid w:val="00E91049"/>
    <w:rsid w:val="00E91064"/>
    <w:rsid w:val="00E91073"/>
    <w:rsid w:val="00E910D5"/>
    <w:rsid w:val="00E912E6"/>
    <w:rsid w:val="00E91689"/>
    <w:rsid w:val="00E9176B"/>
    <w:rsid w:val="00E91FD4"/>
    <w:rsid w:val="00E921A1"/>
    <w:rsid w:val="00E9225C"/>
    <w:rsid w:val="00E9232A"/>
    <w:rsid w:val="00E924F7"/>
    <w:rsid w:val="00E926B9"/>
    <w:rsid w:val="00E9271F"/>
    <w:rsid w:val="00E9273A"/>
    <w:rsid w:val="00E927A1"/>
    <w:rsid w:val="00E92F8A"/>
    <w:rsid w:val="00E92FC2"/>
    <w:rsid w:val="00E92FF2"/>
    <w:rsid w:val="00E93023"/>
    <w:rsid w:val="00E9303E"/>
    <w:rsid w:val="00E930EF"/>
    <w:rsid w:val="00E93263"/>
    <w:rsid w:val="00E93276"/>
    <w:rsid w:val="00E937A6"/>
    <w:rsid w:val="00E93831"/>
    <w:rsid w:val="00E93ADD"/>
    <w:rsid w:val="00E93C7E"/>
    <w:rsid w:val="00E9415A"/>
    <w:rsid w:val="00E94257"/>
    <w:rsid w:val="00E94266"/>
    <w:rsid w:val="00E94278"/>
    <w:rsid w:val="00E94283"/>
    <w:rsid w:val="00E943F9"/>
    <w:rsid w:val="00E9451A"/>
    <w:rsid w:val="00E94577"/>
    <w:rsid w:val="00E94687"/>
    <w:rsid w:val="00E946C3"/>
    <w:rsid w:val="00E9479C"/>
    <w:rsid w:val="00E947E1"/>
    <w:rsid w:val="00E94873"/>
    <w:rsid w:val="00E94888"/>
    <w:rsid w:val="00E94896"/>
    <w:rsid w:val="00E948AE"/>
    <w:rsid w:val="00E94ADF"/>
    <w:rsid w:val="00E94CA4"/>
    <w:rsid w:val="00E94E91"/>
    <w:rsid w:val="00E95187"/>
    <w:rsid w:val="00E95251"/>
    <w:rsid w:val="00E952FE"/>
    <w:rsid w:val="00E9543E"/>
    <w:rsid w:val="00E95621"/>
    <w:rsid w:val="00E957FE"/>
    <w:rsid w:val="00E9583A"/>
    <w:rsid w:val="00E9586C"/>
    <w:rsid w:val="00E958F2"/>
    <w:rsid w:val="00E959B9"/>
    <w:rsid w:val="00E95A11"/>
    <w:rsid w:val="00E95CAC"/>
    <w:rsid w:val="00E95D6C"/>
    <w:rsid w:val="00E95D82"/>
    <w:rsid w:val="00E95DFA"/>
    <w:rsid w:val="00E95E1B"/>
    <w:rsid w:val="00E95E75"/>
    <w:rsid w:val="00E95EC6"/>
    <w:rsid w:val="00E961B0"/>
    <w:rsid w:val="00E962CB"/>
    <w:rsid w:val="00E96380"/>
    <w:rsid w:val="00E9641A"/>
    <w:rsid w:val="00E9685E"/>
    <w:rsid w:val="00E9690A"/>
    <w:rsid w:val="00E9695A"/>
    <w:rsid w:val="00E9699B"/>
    <w:rsid w:val="00E96B1E"/>
    <w:rsid w:val="00E96DFA"/>
    <w:rsid w:val="00E96F61"/>
    <w:rsid w:val="00E9703D"/>
    <w:rsid w:val="00E971E2"/>
    <w:rsid w:val="00E9776B"/>
    <w:rsid w:val="00E977B3"/>
    <w:rsid w:val="00E978C8"/>
    <w:rsid w:val="00E978CB"/>
    <w:rsid w:val="00E97907"/>
    <w:rsid w:val="00E97914"/>
    <w:rsid w:val="00E979ED"/>
    <w:rsid w:val="00E97B79"/>
    <w:rsid w:val="00E97B8B"/>
    <w:rsid w:val="00E97C90"/>
    <w:rsid w:val="00E97F64"/>
    <w:rsid w:val="00E97FA9"/>
    <w:rsid w:val="00EA01BE"/>
    <w:rsid w:val="00EA01CA"/>
    <w:rsid w:val="00EA0370"/>
    <w:rsid w:val="00EA057D"/>
    <w:rsid w:val="00EA05D3"/>
    <w:rsid w:val="00EA06EC"/>
    <w:rsid w:val="00EA07AD"/>
    <w:rsid w:val="00EA0860"/>
    <w:rsid w:val="00EA08CA"/>
    <w:rsid w:val="00EA09E7"/>
    <w:rsid w:val="00EA0A94"/>
    <w:rsid w:val="00EA0ABA"/>
    <w:rsid w:val="00EA0BC8"/>
    <w:rsid w:val="00EA0C66"/>
    <w:rsid w:val="00EA0D21"/>
    <w:rsid w:val="00EA0F02"/>
    <w:rsid w:val="00EA0FEE"/>
    <w:rsid w:val="00EA1005"/>
    <w:rsid w:val="00EA124C"/>
    <w:rsid w:val="00EA126F"/>
    <w:rsid w:val="00EA14D9"/>
    <w:rsid w:val="00EA164A"/>
    <w:rsid w:val="00EA17BF"/>
    <w:rsid w:val="00EA1853"/>
    <w:rsid w:val="00EA1A3F"/>
    <w:rsid w:val="00EA1BA7"/>
    <w:rsid w:val="00EA1BBB"/>
    <w:rsid w:val="00EA1CED"/>
    <w:rsid w:val="00EA1D1C"/>
    <w:rsid w:val="00EA1E92"/>
    <w:rsid w:val="00EA1EE6"/>
    <w:rsid w:val="00EA2028"/>
    <w:rsid w:val="00EA2154"/>
    <w:rsid w:val="00EA21B6"/>
    <w:rsid w:val="00EA2241"/>
    <w:rsid w:val="00EA229E"/>
    <w:rsid w:val="00EA2577"/>
    <w:rsid w:val="00EA2594"/>
    <w:rsid w:val="00EA25A4"/>
    <w:rsid w:val="00EA2647"/>
    <w:rsid w:val="00EA27DA"/>
    <w:rsid w:val="00EA2821"/>
    <w:rsid w:val="00EA28B2"/>
    <w:rsid w:val="00EA292A"/>
    <w:rsid w:val="00EA2ABE"/>
    <w:rsid w:val="00EA2EE3"/>
    <w:rsid w:val="00EA2EF6"/>
    <w:rsid w:val="00EA30AA"/>
    <w:rsid w:val="00EA329B"/>
    <w:rsid w:val="00EA34AF"/>
    <w:rsid w:val="00EA34D3"/>
    <w:rsid w:val="00EA3531"/>
    <w:rsid w:val="00EA35FD"/>
    <w:rsid w:val="00EA3758"/>
    <w:rsid w:val="00EA3878"/>
    <w:rsid w:val="00EA39ED"/>
    <w:rsid w:val="00EA3A0D"/>
    <w:rsid w:val="00EA3C11"/>
    <w:rsid w:val="00EA3C46"/>
    <w:rsid w:val="00EA3C75"/>
    <w:rsid w:val="00EA3DC7"/>
    <w:rsid w:val="00EA3E7F"/>
    <w:rsid w:val="00EA4079"/>
    <w:rsid w:val="00EA408E"/>
    <w:rsid w:val="00EA40E8"/>
    <w:rsid w:val="00EA41AB"/>
    <w:rsid w:val="00EA4414"/>
    <w:rsid w:val="00EA456D"/>
    <w:rsid w:val="00EA460B"/>
    <w:rsid w:val="00EA489B"/>
    <w:rsid w:val="00EA4CE0"/>
    <w:rsid w:val="00EA4D02"/>
    <w:rsid w:val="00EA4F1F"/>
    <w:rsid w:val="00EA4F21"/>
    <w:rsid w:val="00EA50B4"/>
    <w:rsid w:val="00EA5114"/>
    <w:rsid w:val="00EA51CB"/>
    <w:rsid w:val="00EA5311"/>
    <w:rsid w:val="00EA5590"/>
    <w:rsid w:val="00EA589F"/>
    <w:rsid w:val="00EA595E"/>
    <w:rsid w:val="00EA596B"/>
    <w:rsid w:val="00EA5A46"/>
    <w:rsid w:val="00EA5AC2"/>
    <w:rsid w:val="00EA5B2B"/>
    <w:rsid w:val="00EA5CCA"/>
    <w:rsid w:val="00EA5D0E"/>
    <w:rsid w:val="00EA5D7E"/>
    <w:rsid w:val="00EA5DB3"/>
    <w:rsid w:val="00EA6048"/>
    <w:rsid w:val="00EA613A"/>
    <w:rsid w:val="00EA619F"/>
    <w:rsid w:val="00EA63A8"/>
    <w:rsid w:val="00EA63CE"/>
    <w:rsid w:val="00EA6440"/>
    <w:rsid w:val="00EA6914"/>
    <w:rsid w:val="00EA69AD"/>
    <w:rsid w:val="00EA6B01"/>
    <w:rsid w:val="00EA6DFB"/>
    <w:rsid w:val="00EA7040"/>
    <w:rsid w:val="00EA7042"/>
    <w:rsid w:val="00EA708F"/>
    <w:rsid w:val="00EA7162"/>
    <w:rsid w:val="00EA72EB"/>
    <w:rsid w:val="00EA7426"/>
    <w:rsid w:val="00EA7587"/>
    <w:rsid w:val="00EA761C"/>
    <w:rsid w:val="00EA7699"/>
    <w:rsid w:val="00EA7742"/>
    <w:rsid w:val="00EA7792"/>
    <w:rsid w:val="00EA7960"/>
    <w:rsid w:val="00EA7A17"/>
    <w:rsid w:val="00EA7AC7"/>
    <w:rsid w:val="00EA7B5E"/>
    <w:rsid w:val="00EA7D1B"/>
    <w:rsid w:val="00EA7DD8"/>
    <w:rsid w:val="00EA7E4D"/>
    <w:rsid w:val="00EA7F11"/>
    <w:rsid w:val="00EB0053"/>
    <w:rsid w:val="00EB015D"/>
    <w:rsid w:val="00EB01DF"/>
    <w:rsid w:val="00EB0263"/>
    <w:rsid w:val="00EB03FB"/>
    <w:rsid w:val="00EB0400"/>
    <w:rsid w:val="00EB05D1"/>
    <w:rsid w:val="00EB069C"/>
    <w:rsid w:val="00EB09DD"/>
    <w:rsid w:val="00EB0C8E"/>
    <w:rsid w:val="00EB0CF0"/>
    <w:rsid w:val="00EB0ECA"/>
    <w:rsid w:val="00EB1235"/>
    <w:rsid w:val="00EB14D1"/>
    <w:rsid w:val="00EB1547"/>
    <w:rsid w:val="00EB162C"/>
    <w:rsid w:val="00EB17CB"/>
    <w:rsid w:val="00EB17E3"/>
    <w:rsid w:val="00EB1A04"/>
    <w:rsid w:val="00EB1ADF"/>
    <w:rsid w:val="00EB1B82"/>
    <w:rsid w:val="00EB1C9B"/>
    <w:rsid w:val="00EB1CA4"/>
    <w:rsid w:val="00EB1F6B"/>
    <w:rsid w:val="00EB20C5"/>
    <w:rsid w:val="00EB21A7"/>
    <w:rsid w:val="00EB23E4"/>
    <w:rsid w:val="00EB242B"/>
    <w:rsid w:val="00EB2501"/>
    <w:rsid w:val="00EB25DB"/>
    <w:rsid w:val="00EB25F2"/>
    <w:rsid w:val="00EB2650"/>
    <w:rsid w:val="00EB26AE"/>
    <w:rsid w:val="00EB2BA5"/>
    <w:rsid w:val="00EB2C42"/>
    <w:rsid w:val="00EB2C6D"/>
    <w:rsid w:val="00EB3094"/>
    <w:rsid w:val="00EB30C5"/>
    <w:rsid w:val="00EB3180"/>
    <w:rsid w:val="00EB368F"/>
    <w:rsid w:val="00EB3844"/>
    <w:rsid w:val="00EB3C99"/>
    <w:rsid w:val="00EB3E00"/>
    <w:rsid w:val="00EB3E20"/>
    <w:rsid w:val="00EB4008"/>
    <w:rsid w:val="00EB4047"/>
    <w:rsid w:val="00EB405F"/>
    <w:rsid w:val="00EB407A"/>
    <w:rsid w:val="00EB411A"/>
    <w:rsid w:val="00EB42F7"/>
    <w:rsid w:val="00EB466C"/>
    <w:rsid w:val="00EB478A"/>
    <w:rsid w:val="00EB4DE5"/>
    <w:rsid w:val="00EB4ECB"/>
    <w:rsid w:val="00EB4F63"/>
    <w:rsid w:val="00EB4FA7"/>
    <w:rsid w:val="00EB516A"/>
    <w:rsid w:val="00EB51B0"/>
    <w:rsid w:val="00EB530B"/>
    <w:rsid w:val="00EB53E3"/>
    <w:rsid w:val="00EB540B"/>
    <w:rsid w:val="00EB54EA"/>
    <w:rsid w:val="00EB57C9"/>
    <w:rsid w:val="00EB5A5D"/>
    <w:rsid w:val="00EB5AE7"/>
    <w:rsid w:val="00EB5C18"/>
    <w:rsid w:val="00EB5C2A"/>
    <w:rsid w:val="00EB5C9B"/>
    <w:rsid w:val="00EB5D5C"/>
    <w:rsid w:val="00EB5E2F"/>
    <w:rsid w:val="00EB5EC0"/>
    <w:rsid w:val="00EB60DE"/>
    <w:rsid w:val="00EB620C"/>
    <w:rsid w:val="00EB639D"/>
    <w:rsid w:val="00EB649E"/>
    <w:rsid w:val="00EB64CA"/>
    <w:rsid w:val="00EB6532"/>
    <w:rsid w:val="00EB659E"/>
    <w:rsid w:val="00EB6614"/>
    <w:rsid w:val="00EB6618"/>
    <w:rsid w:val="00EB67C4"/>
    <w:rsid w:val="00EB6826"/>
    <w:rsid w:val="00EB684D"/>
    <w:rsid w:val="00EB68C0"/>
    <w:rsid w:val="00EB6B12"/>
    <w:rsid w:val="00EB6B92"/>
    <w:rsid w:val="00EB72C1"/>
    <w:rsid w:val="00EB72D1"/>
    <w:rsid w:val="00EB7386"/>
    <w:rsid w:val="00EB7425"/>
    <w:rsid w:val="00EB743F"/>
    <w:rsid w:val="00EB7612"/>
    <w:rsid w:val="00EB7878"/>
    <w:rsid w:val="00EB798B"/>
    <w:rsid w:val="00EB7AF9"/>
    <w:rsid w:val="00EB7CD0"/>
    <w:rsid w:val="00EB7D5F"/>
    <w:rsid w:val="00EB7DD3"/>
    <w:rsid w:val="00EC0013"/>
    <w:rsid w:val="00EC010B"/>
    <w:rsid w:val="00EC05AF"/>
    <w:rsid w:val="00EC06C1"/>
    <w:rsid w:val="00EC094A"/>
    <w:rsid w:val="00EC0AA3"/>
    <w:rsid w:val="00EC0B16"/>
    <w:rsid w:val="00EC1061"/>
    <w:rsid w:val="00EC1088"/>
    <w:rsid w:val="00EC10FC"/>
    <w:rsid w:val="00EC112A"/>
    <w:rsid w:val="00EC113C"/>
    <w:rsid w:val="00EC12F6"/>
    <w:rsid w:val="00EC145B"/>
    <w:rsid w:val="00EC1460"/>
    <w:rsid w:val="00EC154A"/>
    <w:rsid w:val="00EC162A"/>
    <w:rsid w:val="00EC16F7"/>
    <w:rsid w:val="00EC1705"/>
    <w:rsid w:val="00EC1717"/>
    <w:rsid w:val="00EC17EF"/>
    <w:rsid w:val="00EC1885"/>
    <w:rsid w:val="00EC192B"/>
    <w:rsid w:val="00EC1961"/>
    <w:rsid w:val="00EC1D78"/>
    <w:rsid w:val="00EC1E5E"/>
    <w:rsid w:val="00EC1E77"/>
    <w:rsid w:val="00EC1F9C"/>
    <w:rsid w:val="00EC2142"/>
    <w:rsid w:val="00EC2509"/>
    <w:rsid w:val="00EC2524"/>
    <w:rsid w:val="00EC2624"/>
    <w:rsid w:val="00EC26DB"/>
    <w:rsid w:val="00EC27DB"/>
    <w:rsid w:val="00EC2802"/>
    <w:rsid w:val="00EC28CF"/>
    <w:rsid w:val="00EC294D"/>
    <w:rsid w:val="00EC2BCA"/>
    <w:rsid w:val="00EC2CBC"/>
    <w:rsid w:val="00EC2D19"/>
    <w:rsid w:val="00EC2DF6"/>
    <w:rsid w:val="00EC30CA"/>
    <w:rsid w:val="00EC319C"/>
    <w:rsid w:val="00EC334F"/>
    <w:rsid w:val="00EC33CC"/>
    <w:rsid w:val="00EC35AE"/>
    <w:rsid w:val="00EC36F3"/>
    <w:rsid w:val="00EC3709"/>
    <w:rsid w:val="00EC3758"/>
    <w:rsid w:val="00EC3778"/>
    <w:rsid w:val="00EC37DA"/>
    <w:rsid w:val="00EC388B"/>
    <w:rsid w:val="00EC3B0F"/>
    <w:rsid w:val="00EC3C1D"/>
    <w:rsid w:val="00EC3C68"/>
    <w:rsid w:val="00EC3D9F"/>
    <w:rsid w:val="00EC3E18"/>
    <w:rsid w:val="00EC3F28"/>
    <w:rsid w:val="00EC3F4C"/>
    <w:rsid w:val="00EC455A"/>
    <w:rsid w:val="00EC468D"/>
    <w:rsid w:val="00EC483E"/>
    <w:rsid w:val="00EC4848"/>
    <w:rsid w:val="00EC4905"/>
    <w:rsid w:val="00EC4C2D"/>
    <w:rsid w:val="00EC4F6F"/>
    <w:rsid w:val="00EC4FD6"/>
    <w:rsid w:val="00EC5263"/>
    <w:rsid w:val="00EC52D4"/>
    <w:rsid w:val="00EC537B"/>
    <w:rsid w:val="00EC5389"/>
    <w:rsid w:val="00EC5411"/>
    <w:rsid w:val="00EC55B4"/>
    <w:rsid w:val="00EC5635"/>
    <w:rsid w:val="00EC57C2"/>
    <w:rsid w:val="00EC589C"/>
    <w:rsid w:val="00EC59AA"/>
    <w:rsid w:val="00EC5B23"/>
    <w:rsid w:val="00EC5B5E"/>
    <w:rsid w:val="00EC5D3F"/>
    <w:rsid w:val="00EC5D88"/>
    <w:rsid w:val="00EC5ED5"/>
    <w:rsid w:val="00EC6012"/>
    <w:rsid w:val="00EC6070"/>
    <w:rsid w:val="00EC6139"/>
    <w:rsid w:val="00EC62CC"/>
    <w:rsid w:val="00EC62D8"/>
    <w:rsid w:val="00EC6404"/>
    <w:rsid w:val="00EC64E7"/>
    <w:rsid w:val="00EC65C4"/>
    <w:rsid w:val="00EC6634"/>
    <w:rsid w:val="00EC665E"/>
    <w:rsid w:val="00EC6717"/>
    <w:rsid w:val="00EC67DB"/>
    <w:rsid w:val="00EC68EC"/>
    <w:rsid w:val="00EC6976"/>
    <w:rsid w:val="00EC6A77"/>
    <w:rsid w:val="00EC6A99"/>
    <w:rsid w:val="00EC6BDC"/>
    <w:rsid w:val="00EC6D49"/>
    <w:rsid w:val="00EC6EF6"/>
    <w:rsid w:val="00EC6FC4"/>
    <w:rsid w:val="00EC704D"/>
    <w:rsid w:val="00EC718F"/>
    <w:rsid w:val="00EC71BB"/>
    <w:rsid w:val="00EC72DF"/>
    <w:rsid w:val="00EC72EE"/>
    <w:rsid w:val="00EC7321"/>
    <w:rsid w:val="00EC74DD"/>
    <w:rsid w:val="00EC74EA"/>
    <w:rsid w:val="00EC7857"/>
    <w:rsid w:val="00EC789D"/>
    <w:rsid w:val="00EC790F"/>
    <w:rsid w:val="00EC7B28"/>
    <w:rsid w:val="00EC7B60"/>
    <w:rsid w:val="00EC7D06"/>
    <w:rsid w:val="00EC7D28"/>
    <w:rsid w:val="00EC7D74"/>
    <w:rsid w:val="00EC7E84"/>
    <w:rsid w:val="00ED00C5"/>
    <w:rsid w:val="00ED010F"/>
    <w:rsid w:val="00ED0157"/>
    <w:rsid w:val="00ED04C0"/>
    <w:rsid w:val="00ED052C"/>
    <w:rsid w:val="00ED0593"/>
    <w:rsid w:val="00ED05E8"/>
    <w:rsid w:val="00ED07E8"/>
    <w:rsid w:val="00ED08A2"/>
    <w:rsid w:val="00ED0A3F"/>
    <w:rsid w:val="00ED0A5C"/>
    <w:rsid w:val="00ED0BBB"/>
    <w:rsid w:val="00ED0DA3"/>
    <w:rsid w:val="00ED0EE7"/>
    <w:rsid w:val="00ED102A"/>
    <w:rsid w:val="00ED10BC"/>
    <w:rsid w:val="00ED128B"/>
    <w:rsid w:val="00ED130D"/>
    <w:rsid w:val="00ED1857"/>
    <w:rsid w:val="00ED18C9"/>
    <w:rsid w:val="00ED18CE"/>
    <w:rsid w:val="00ED1917"/>
    <w:rsid w:val="00ED199E"/>
    <w:rsid w:val="00ED1A13"/>
    <w:rsid w:val="00ED1B70"/>
    <w:rsid w:val="00ED1C3F"/>
    <w:rsid w:val="00ED1E1A"/>
    <w:rsid w:val="00ED1E2A"/>
    <w:rsid w:val="00ED1EA7"/>
    <w:rsid w:val="00ED1F27"/>
    <w:rsid w:val="00ED1F99"/>
    <w:rsid w:val="00ED208A"/>
    <w:rsid w:val="00ED22C1"/>
    <w:rsid w:val="00ED22F2"/>
    <w:rsid w:val="00ED2371"/>
    <w:rsid w:val="00ED2589"/>
    <w:rsid w:val="00ED25B8"/>
    <w:rsid w:val="00ED2851"/>
    <w:rsid w:val="00ED2932"/>
    <w:rsid w:val="00ED2999"/>
    <w:rsid w:val="00ED2BF7"/>
    <w:rsid w:val="00ED2C5A"/>
    <w:rsid w:val="00ED2DA4"/>
    <w:rsid w:val="00ED2E1C"/>
    <w:rsid w:val="00ED31CC"/>
    <w:rsid w:val="00ED33F3"/>
    <w:rsid w:val="00ED3517"/>
    <w:rsid w:val="00ED3549"/>
    <w:rsid w:val="00ED36F9"/>
    <w:rsid w:val="00ED37D6"/>
    <w:rsid w:val="00ED3817"/>
    <w:rsid w:val="00ED38C3"/>
    <w:rsid w:val="00ED3B1B"/>
    <w:rsid w:val="00ED3E7B"/>
    <w:rsid w:val="00ED3E98"/>
    <w:rsid w:val="00ED3E9A"/>
    <w:rsid w:val="00ED4075"/>
    <w:rsid w:val="00ED40DC"/>
    <w:rsid w:val="00ED410C"/>
    <w:rsid w:val="00ED41C2"/>
    <w:rsid w:val="00ED41CB"/>
    <w:rsid w:val="00ED427F"/>
    <w:rsid w:val="00ED43A5"/>
    <w:rsid w:val="00ED43E3"/>
    <w:rsid w:val="00ED43F2"/>
    <w:rsid w:val="00ED4437"/>
    <w:rsid w:val="00ED4468"/>
    <w:rsid w:val="00ED4819"/>
    <w:rsid w:val="00ED484D"/>
    <w:rsid w:val="00ED48B9"/>
    <w:rsid w:val="00ED4AE6"/>
    <w:rsid w:val="00ED4B6E"/>
    <w:rsid w:val="00ED4B8B"/>
    <w:rsid w:val="00ED4BBD"/>
    <w:rsid w:val="00ED4C7D"/>
    <w:rsid w:val="00ED4F6C"/>
    <w:rsid w:val="00ED510F"/>
    <w:rsid w:val="00ED51A7"/>
    <w:rsid w:val="00ED5290"/>
    <w:rsid w:val="00ED52A8"/>
    <w:rsid w:val="00ED52AF"/>
    <w:rsid w:val="00ED5337"/>
    <w:rsid w:val="00ED5381"/>
    <w:rsid w:val="00ED53DD"/>
    <w:rsid w:val="00ED54A4"/>
    <w:rsid w:val="00ED550A"/>
    <w:rsid w:val="00ED557A"/>
    <w:rsid w:val="00ED5722"/>
    <w:rsid w:val="00ED5771"/>
    <w:rsid w:val="00ED5775"/>
    <w:rsid w:val="00ED5B39"/>
    <w:rsid w:val="00ED5BD6"/>
    <w:rsid w:val="00ED5C0B"/>
    <w:rsid w:val="00ED5C90"/>
    <w:rsid w:val="00ED5DB4"/>
    <w:rsid w:val="00ED5DCF"/>
    <w:rsid w:val="00ED60BC"/>
    <w:rsid w:val="00ED60FE"/>
    <w:rsid w:val="00ED61F0"/>
    <w:rsid w:val="00ED66B1"/>
    <w:rsid w:val="00ED66EE"/>
    <w:rsid w:val="00ED6947"/>
    <w:rsid w:val="00ED6C64"/>
    <w:rsid w:val="00ED6C78"/>
    <w:rsid w:val="00ED6D05"/>
    <w:rsid w:val="00ED6F21"/>
    <w:rsid w:val="00ED6F7A"/>
    <w:rsid w:val="00ED7036"/>
    <w:rsid w:val="00ED70CF"/>
    <w:rsid w:val="00ED71B8"/>
    <w:rsid w:val="00ED7256"/>
    <w:rsid w:val="00ED72FA"/>
    <w:rsid w:val="00ED732D"/>
    <w:rsid w:val="00ED7442"/>
    <w:rsid w:val="00ED7446"/>
    <w:rsid w:val="00ED74BA"/>
    <w:rsid w:val="00ED7563"/>
    <w:rsid w:val="00ED7658"/>
    <w:rsid w:val="00ED768D"/>
    <w:rsid w:val="00ED770E"/>
    <w:rsid w:val="00ED7735"/>
    <w:rsid w:val="00ED7897"/>
    <w:rsid w:val="00ED799F"/>
    <w:rsid w:val="00ED7ED3"/>
    <w:rsid w:val="00EE00F7"/>
    <w:rsid w:val="00EE031D"/>
    <w:rsid w:val="00EE03C6"/>
    <w:rsid w:val="00EE03FF"/>
    <w:rsid w:val="00EE0470"/>
    <w:rsid w:val="00EE04FB"/>
    <w:rsid w:val="00EE0554"/>
    <w:rsid w:val="00EE0632"/>
    <w:rsid w:val="00EE0673"/>
    <w:rsid w:val="00EE078A"/>
    <w:rsid w:val="00EE0852"/>
    <w:rsid w:val="00EE0AAC"/>
    <w:rsid w:val="00EE0B88"/>
    <w:rsid w:val="00EE0C9C"/>
    <w:rsid w:val="00EE0CD0"/>
    <w:rsid w:val="00EE0E36"/>
    <w:rsid w:val="00EE0F16"/>
    <w:rsid w:val="00EE0F35"/>
    <w:rsid w:val="00EE0FD1"/>
    <w:rsid w:val="00EE1447"/>
    <w:rsid w:val="00EE15A7"/>
    <w:rsid w:val="00EE16F0"/>
    <w:rsid w:val="00EE17BF"/>
    <w:rsid w:val="00EE17DD"/>
    <w:rsid w:val="00EE18C0"/>
    <w:rsid w:val="00EE18D3"/>
    <w:rsid w:val="00EE1942"/>
    <w:rsid w:val="00EE1D83"/>
    <w:rsid w:val="00EE1D9B"/>
    <w:rsid w:val="00EE1E67"/>
    <w:rsid w:val="00EE1F99"/>
    <w:rsid w:val="00EE1FBE"/>
    <w:rsid w:val="00EE20F4"/>
    <w:rsid w:val="00EE2395"/>
    <w:rsid w:val="00EE23CE"/>
    <w:rsid w:val="00EE246F"/>
    <w:rsid w:val="00EE251A"/>
    <w:rsid w:val="00EE2675"/>
    <w:rsid w:val="00EE274A"/>
    <w:rsid w:val="00EE2753"/>
    <w:rsid w:val="00EE291A"/>
    <w:rsid w:val="00EE2C85"/>
    <w:rsid w:val="00EE2EE3"/>
    <w:rsid w:val="00EE30EB"/>
    <w:rsid w:val="00EE31E1"/>
    <w:rsid w:val="00EE32DA"/>
    <w:rsid w:val="00EE351B"/>
    <w:rsid w:val="00EE35A2"/>
    <w:rsid w:val="00EE380E"/>
    <w:rsid w:val="00EE3850"/>
    <w:rsid w:val="00EE3A04"/>
    <w:rsid w:val="00EE3AC6"/>
    <w:rsid w:val="00EE3C94"/>
    <w:rsid w:val="00EE3D23"/>
    <w:rsid w:val="00EE405F"/>
    <w:rsid w:val="00EE4129"/>
    <w:rsid w:val="00EE41E4"/>
    <w:rsid w:val="00EE41EC"/>
    <w:rsid w:val="00EE42AA"/>
    <w:rsid w:val="00EE4569"/>
    <w:rsid w:val="00EE457E"/>
    <w:rsid w:val="00EE45F2"/>
    <w:rsid w:val="00EE4649"/>
    <w:rsid w:val="00EE4794"/>
    <w:rsid w:val="00EE4949"/>
    <w:rsid w:val="00EE4A17"/>
    <w:rsid w:val="00EE4C9C"/>
    <w:rsid w:val="00EE5004"/>
    <w:rsid w:val="00EE5113"/>
    <w:rsid w:val="00EE5199"/>
    <w:rsid w:val="00EE51B3"/>
    <w:rsid w:val="00EE529A"/>
    <w:rsid w:val="00EE5351"/>
    <w:rsid w:val="00EE53DC"/>
    <w:rsid w:val="00EE5415"/>
    <w:rsid w:val="00EE5473"/>
    <w:rsid w:val="00EE5535"/>
    <w:rsid w:val="00EE572D"/>
    <w:rsid w:val="00EE5953"/>
    <w:rsid w:val="00EE5A99"/>
    <w:rsid w:val="00EE5B36"/>
    <w:rsid w:val="00EE5BC4"/>
    <w:rsid w:val="00EE5D1C"/>
    <w:rsid w:val="00EE5FAB"/>
    <w:rsid w:val="00EE601E"/>
    <w:rsid w:val="00EE6032"/>
    <w:rsid w:val="00EE62BB"/>
    <w:rsid w:val="00EE640E"/>
    <w:rsid w:val="00EE661B"/>
    <w:rsid w:val="00EE6631"/>
    <w:rsid w:val="00EE6696"/>
    <w:rsid w:val="00EE66AE"/>
    <w:rsid w:val="00EE66EE"/>
    <w:rsid w:val="00EE68BA"/>
    <w:rsid w:val="00EE6995"/>
    <w:rsid w:val="00EE6B4B"/>
    <w:rsid w:val="00EE6D50"/>
    <w:rsid w:val="00EE6DFC"/>
    <w:rsid w:val="00EE6FEE"/>
    <w:rsid w:val="00EE7133"/>
    <w:rsid w:val="00EE7338"/>
    <w:rsid w:val="00EE747F"/>
    <w:rsid w:val="00EE765C"/>
    <w:rsid w:val="00EE7683"/>
    <w:rsid w:val="00EE7699"/>
    <w:rsid w:val="00EE76CB"/>
    <w:rsid w:val="00EE78AB"/>
    <w:rsid w:val="00EE7A19"/>
    <w:rsid w:val="00EE7C48"/>
    <w:rsid w:val="00EE7CE0"/>
    <w:rsid w:val="00EE7CFB"/>
    <w:rsid w:val="00EE7DA8"/>
    <w:rsid w:val="00EE7E77"/>
    <w:rsid w:val="00EF02BD"/>
    <w:rsid w:val="00EF032E"/>
    <w:rsid w:val="00EF0577"/>
    <w:rsid w:val="00EF0746"/>
    <w:rsid w:val="00EF0856"/>
    <w:rsid w:val="00EF095A"/>
    <w:rsid w:val="00EF0988"/>
    <w:rsid w:val="00EF0B0B"/>
    <w:rsid w:val="00EF0B26"/>
    <w:rsid w:val="00EF0CE0"/>
    <w:rsid w:val="00EF0F6E"/>
    <w:rsid w:val="00EF1075"/>
    <w:rsid w:val="00EF10A2"/>
    <w:rsid w:val="00EF11C0"/>
    <w:rsid w:val="00EF11D5"/>
    <w:rsid w:val="00EF1265"/>
    <w:rsid w:val="00EF1567"/>
    <w:rsid w:val="00EF1628"/>
    <w:rsid w:val="00EF16AF"/>
    <w:rsid w:val="00EF16CE"/>
    <w:rsid w:val="00EF16D7"/>
    <w:rsid w:val="00EF18DE"/>
    <w:rsid w:val="00EF1924"/>
    <w:rsid w:val="00EF19A6"/>
    <w:rsid w:val="00EF19C4"/>
    <w:rsid w:val="00EF19E1"/>
    <w:rsid w:val="00EF1A53"/>
    <w:rsid w:val="00EF1B52"/>
    <w:rsid w:val="00EF1E93"/>
    <w:rsid w:val="00EF2096"/>
    <w:rsid w:val="00EF20A5"/>
    <w:rsid w:val="00EF21D5"/>
    <w:rsid w:val="00EF21E7"/>
    <w:rsid w:val="00EF2544"/>
    <w:rsid w:val="00EF254A"/>
    <w:rsid w:val="00EF2603"/>
    <w:rsid w:val="00EF27ED"/>
    <w:rsid w:val="00EF289D"/>
    <w:rsid w:val="00EF290A"/>
    <w:rsid w:val="00EF2943"/>
    <w:rsid w:val="00EF2998"/>
    <w:rsid w:val="00EF2C73"/>
    <w:rsid w:val="00EF2CBE"/>
    <w:rsid w:val="00EF2F8B"/>
    <w:rsid w:val="00EF32C2"/>
    <w:rsid w:val="00EF331F"/>
    <w:rsid w:val="00EF3511"/>
    <w:rsid w:val="00EF3609"/>
    <w:rsid w:val="00EF377D"/>
    <w:rsid w:val="00EF3926"/>
    <w:rsid w:val="00EF3D16"/>
    <w:rsid w:val="00EF3DED"/>
    <w:rsid w:val="00EF3F69"/>
    <w:rsid w:val="00EF3FA9"/>
    <w:rsid w:val="00EF419C"/>
    <w:rsid w:val="00EF4691"/>
    <w:rsid w:val="00EF481B"/>
    <w:rsid w:val="00EF4882"/>
    <w:rsid w:val="00EF4958"/>
    <w:rsid w:val="00EF4B69"/>
    <w:rsid w:val="00EF4C1E"/>
    <w:rsid w:val="00EF4CDA"/>
    <w:rsid w:val="00EF4E94"/>
    <w:rsid w:val="00EF4E97"/>
    <w:rsid w:val="00EF501A"/>
    <w:rsid w:val="00EF5097"/>
    <w:rsid w:val="00EF5227"/>
    <w:rsid w:val="00EF534E"/>
    <w:rsid w:val="00EF554B"/>
    <w:rsid w:val="00EF55C8"/>
    <w:rsid w:val="00EF55F1"/>
    <w:rsid w:val="00EF5659"/>
    <w:rsid w:val="00EF5828"/>
    <w:rsid w:val="00EF594C"/>
    <w:rsid w:val="00EF5A08"/>
    <w:rsid w:val="00EF5A42"/>
    <w:rsid w:val="00EF5AC2"/>
    <w:rsid w:val="00EF5BDD"/>
    <w:rsid w:val="00EF5DEC"/>
    <w:rsid w:val="00EF5E65"/>
    <w:rsid w:val="00EF5E73"/>
    <w:rsid w:val="00EF5FFF"/>
    <w:rsid w:val="00EF6013"/>
    <w:rsid w:val="00EF605E"/>
    <w:rsid w:val="00EF607F"/>
    <w:rsid w:val="00EF60CC"/>
    <w:rsid w:val="00EF619C"/>
    <w:rsid w:val="00EF623C"/>
    <w:rsid w:val="00EF6308"/>
    <w:rsid w:val="00EF6417"/>
    <w:rsid w:val="00EF6950"/>
    <w:rsid w:val="00EF6A29"/>
    <w:rsid w:val="00EF6A2F"/>
    <w:rsid w:val="00EF6A3A"/>
    <w:rsid w:val="00EF6A69"/>
    <w:rsid w:val="00EF6A90"/>
    <w:rsid w:val="00EF6B1C"/>
    <w:rsid w:val="00EF6C43"/>
    <w:rsid w:val="00EF6C48"/>
    <w:rsid w:val="00EF6C67"/>
    <w:rsid w:val="00EF6EDC"/>
    <w:rsid w:val="00EF6EF5"/>
    <w:rsid w:val="00EF714E"/>
    <w:rsid w:val="00EF738B"/>
    <w:rsid w:val="00EF73CC"/>
    <w:rsid w:val="00EF75E5"/>
    <w:rsid w:val="00EF7873"/>
    <w:rsid w:val="00EF78FB"/>
    <w:rsid w:val="00F0006F"/>
    <w:rsid w:val="00F00175"/>
    <w:rsid w:val="00F00331"/>
    <w:rsid w:val="00F00454"/>
    <w:rsid w:val="00F00461"/>
    <w:rsid w:val="00F00467"/>
    <w:rsid w:val="00F006A3"/>
    <w:rsid w:val="00F00797"/>
    <w:rsid w:val="00F00B37"/>
    <w:rsid w:val="00F00BEE"/>
    <w:rsid w:val="00F00C64"/>
    <w:rsid w:val="00F00C73"/>
    <w:rsid w:val="00F00D14"/>
    <w:rsid w:val="00F00D27"/>
    <w:rsid w:val="00F00E7A"/>
    <w:rsid w:val="00F00FC2"/>
    <w:rsid w:val="00F01147"/>
    <w:rsid w:val="00F01284"/>
    <w:rsid w:val="00F012F4"/>
    <w:rsid w:val="00F01339"/>
    <w:rsid w:val="00F014DB"/>
    <w:rsid w:val="00F015EA"/>
    <w:rsid w:val="00F018D6"/>
    <w:rsid w:val="00F018DC"/>
    <w:rsid w:val="00F019DF"/>
    <w:rsid w:val="00F01A25"/>
    <w:rsid w:val="00F01F1A"/>
    <w:rsid w:val="00F01F29"/>
    <w:rsid w:val="00F01F5F"/>
    <w:rsid w:val="00F02586"/>
    <w:rsid w:val="00F0274D"/>
    <w:rsid w:val="00F0275A"/>
    <w:rsid w:val="00F0281D"/>
    <w:rsid w:val="00F028C4"/>
    <w:rsid w:val="00F02988"/>
    <w:rsid w:val="00F029F0"/>
    <w:rsid w:val="00F029FB"/>
    <w:rsid w:val="00F02B92"/>
    <w:rsid w:val="00F02E53"/>
    <w:rsid w:val="00F02FD6"/>
    <w:rsid w:val="00F02FFA"/>
    <w:rsid w:val="00F03401"/>
    <w:rsid w:val="00F0347F"/>
    <w:rsid w:val="00F0348F"/>
    <w:rsid w:val="00F034C4"/>
    <w:rsid w:val="00F035B0"/>
    <w:rsid w:val="00F0388F"/>
    <w:rsid w:val="00F039E4"/>
    <w:rsid w:val="00F03A77"/>
    <w:rsid w:val="00F03AD9"/>
    <w:rsid w:val="00F03B8A"/>
    <w:rsid w:val="00F03C85"/>
    <w:rsid w:val="00F03CF4"/>
    <w:rsid w:val="00F03F46"/>
    <w:rsid w:val="00F03F6D"/>
    <w:rsid w:val="00F04131"/>
    <w:rsid w:val="00F04173"/>
    <w:rsid w:val="00F0420B"/>
    <w:rsid w:val="00F04421"/>
    <w:rsid w:val="00F044F1"/>
    <w:rsid w:val="00F04570"/>
    <w:rsid w:val="00F045B7"/>
    <w:rsid w:val="00F045DF"/>
    <w:rsid w:val="00F04718"/>
    <w:rsid w:val="00F04747"/>
    <w:rsid w:val="00F04900"/>
    <w:rsid w:val="00F0491E"/>
    <w:rsid w:val="00F04B2D"/>
    <w:rsid w:val="00F04CEB"/>
    <w:rsid w:val="00F05390"/>
    <w:rsid w:val="00F054F9"/>
    <w:rsid w:val="00F05868"/>
    <w:rsid w:val="00F05906"/>
    <w:rsid w:val="00F059D7"/>
    <w:rsid w:val="00F05A02"/>
    <w:rsid w:val="00F05B34"/>
    <w:rsid w:val="00F05BB5"/>
    <w:rsid w:val="00F05C60"/>
    <w:rsid w:val="00F05D8B"/>
    <w:rsid w:val="00F05F8B"/>
    <w:rsid w:val="00F05F97"/>
    <w:rsid w:val="00F061ED"/>
    <w:rsid w:val="00F063B3"/>
    <w:rsid w:val="00F065CE"/>
    <w:rsid w:val="00F06634"/>
    <w:rsid w:val="00F0679D"/>
    <w:rsid w:val="00F06868"/>
    <w:rsid w:val="00F0698A"/>
    <w:rsid w:val="00F069E3"/>
    <w:rsid w:val="00F06B20"/>
    <w:rsid w:val="00F06B58"/>
    <w:rsid w:val="00F06BFB"/>
    <w:rsid w:val="00F06F62"/>
    <w:rsid w:val="00F072F8"/>
    <w:rsid w:val="00F076EB"/>
    <w:rsid w:val="00F0793B"/>
    <w:rsid w:val="00F07B4F"/>
    <w:rsid w:val="00F07CC1"/>
    <w:rsid w:val="00F07CEA"/>
    <w:rsid w:val="00F07D6F"/>
    <w:rsid w:val="00F07D8A"/>
    <w:rsid w:val="00F07E61"/>
    <w:rsid w:val="00F07F5B"/>
    <w:rsid w:val="00F07F9F"/>
    <w:rsid w:val="00F07FBC"/>
    <w:rsid w:val="00F07FD0"/>
    <w:rsid w:val="00F07FF3"/>
    <w:rsid w:val="00F1000B"/>
    <w:rsid w:val="00F104A5"/>
    <w:rsid w:val="00F10559"/>
    <w:rsid w:val="00F1068C"/>
    <w:rsid w:val="00F10740"/>
    <w:rsid w:val="00F1079D"/>
    <w:rsid w:val="00F109D7"/>
    <w:rsid w:val="00F10AE8"/>
    <w:rsid w:val="00F10BD8"/>
    <w:rsid w:val="00F10C57"/>
    <w:rsid w:val="00F10D88"/>
    <w:rsid w:val="00F10F2B"/>
    <w:rsid w:val="00F10F74"/>
    <w:rsid w:val="00F110A1"/>
    <w:rsid w:val="00F1134B"/>
    <w:rsid w:val="00F11350"/>
    <w:rsid w:val="00F11432"/>
    <w:rsid w:val="00F115AE"/>
    <w:rsid w:val="00F11702"/>
    <w:rsid w:val="00F11715"/>
    <w:rsid w:val="00F11778"/>
    <w:rsid w:val="00F1189E"/>
    <w:rsid w:val="00F11A64"/>
    <w:rsid w:val="00F11AFD"/>
    <w:rsid w:val="00F11F96"/>
    <w:rsid w:val="00F12025"/>
    <w:rsid w:val="00F12253"/>
    <w:rsid w:val="00F123E8"/>
    <w:rsid w:val="00F12454"/>
    <w:rsid w:val="00F124CE"/>
    <w:rsid w:val="00F126AF"/>
    <w:rsid w:val="00F12749"/>
    <w:rsid w:val="00F1287B"/>
    <w:rsid w:val="00F1297F"/>
    <w:rsid w:val="00F12A2A"/>
    <w:rsid w:val="00F12AC5"/>
    <w:rsid w:val="00F12CEE"/>
    <w:rsid w:val="00F12D6E"/>
    <w:rsid w:val="00F12DAA"/>
    <w:rsid w:val="00F12E82"/>
    <w:rsid w:val="00F12EC6"/>
    <w:rsid w:val="00F12EFC"/>
    <w:rsid w:val="00F12F5E"/>
    <w:rsid w:val="00F12FE7"/>
    <w:rsid w:val="00F130E9"/>
    <w:rsid w:val="00F1313B"/>
    <w:rsid w:val="00F13224"/>
    <w:rsid w:val="00F1322C"/>
    <w:rsid w:val="00F13288"/>
    <w:rsid w:val="00F132DE"/>
    <w:rsid w:val="00F13394"/>
    <w:rsid w:val="00F133FA"/>
    <w:rsid w:val="00F138D3"/>
    <w:rsid w:val="00F138ED"/>
    <w:rsid w:val="00F13985"/>
    <w:rsid w:val="00F13A56"/>
    <w:rsid w:val="00F13BA6"/>
    <w:rsid w:val="00F13CA1"/>
    <w:rsid w:val="00F13CD8"/>
    <w:rsid w:val="00F13CEC"/>
    <w:rsid w:val="00F13CF7"/>
    <w:rsid w:val="00F13D70"/>
    <w:rsid w:val="00F13DDB"/>
    <w:rsid w:val="00F13F02"/>
    <w:rsid w:val="00F140DA"/>
    <w:rsid w:val="00F140F2"/>
    <w:rsid w:val="00F14190"/>
    <w:rsid w:val="00F1423D"/>
    <w:rsid w:val="00F14241"/>
    <w:rsid w:val="00F1429A"/>
    <w:rsid w:val="00F1430E"/>
    <w:rsid w:val="00F14330"/>
    <w:rsid w:val="00F14372"/>
    <w:rsid w:val="00F1440C"/>
    <w:rsid w:val="00F144AF"/>
    <w:rsid w:val="00F14711"/>
    <w:rsid w:val="00F14CB4"/>
    <w:rsid w:val="00F14CD0"/>
    <w:rsid w:val="00F150E3"/>
    <w:rsid w:val="00F15429"/>
    <w:rsid w:val="00F1547E"/>
    <w:rsid w:val="00F154E9"/>
    <w:rsid w:val="00F155D7"/>
    <w:rsid w:val="00F15719"/>
    <w:rsid w:val="00F158DD"/>
    <w:rsid w:val="00F15C38"/>
    <w:rsid w:val="00F15C8B"/>
    <w:rsid w:val="00F15E77"/>
    <w:rsid w:val="00F15EAE"/>
    <w:rsid w:val="00F1618E"/>
    <w:rsid w:val="00F161F7"/>
    <w:rsid w:val="00F162FA"/>
    <w:rsid w:val="00F16460"/>
    <w:rsid w:val="00F16549"/>
    <w:rsid w:val="00F1662D"/>
    <w:rsid w:val="00F1673D"/>
    <w:rsid w:val="00F16774"/>
    <w:rsid w:val="00F1682E"/>
    <w:rsid w:val="00F1687A"/>
    <w:rsid w:val="00F169FF"/>
    <w:rsid w:val="00F16C06"/>
    <w:rsid w:val="00F16CCE"/>
    <w:rsid w:val="00F16CD9"/>
    <w:rsid w:val="00F16FE2"/>
    <w:rsid w:val="00F1721F"/>
    <w:rsid w:val="00F1769E"/>
    <w:rsid w:val="00F176D8"/>
    <w:rsid w:val="00F177B7"/>
    <w:rsid w:val="00F17C41"/>
    <w:rsid w:val="00F17DF5"/>
    <w:rsid w:val="00F17E1A"/>
    <w:rsid w:val="00F2003D"/>
    <w:rsid w:val="00F201DC"/>
    <w:rsid w:val="00F201EE"/>
    <w:rsid w:val="00F2026D"/>
    <w:rsid w:val="00F20407"/>
    <w:rsid w:val="00F20737"/>
    <w:rsid w:val="00F207A2"/>
    <w:rsid w:val="00F20A2B"/>
    <w:rsid w:val="00F20B31"/>
    <w:rsid w:val="00F20C60"/>
    <w:rsid w:val="00F20F86"/>
    <w:rsid w:val="00F2115C"/>
    <w:rsid w:val="00F21187"/>
    <w:rsid w:val="00F211C8"/>
    <w:rsid w:val="00F212B2"/>
    <w:rsid w:val="00F214AC"/>
    <w:rsid w:val="00F21544"/>
    <w:rsid w:val="00F217B1"/>
    <w:rsid w:val="00F2198C"/>
    <w:rsid w:val="00F219BF"/>
    <w:rsid w:val="00F21BB5"/>
    <w:rsid w:val="00F21E96"/>
    <w:rsid w:val="00F22017"/>
    <w:rsid w:val="00F222F3"/>
    <w:rsid w:val="00F224F0"/>
    <w:rsid w:val="00F225AA"/>
    <w:rsid w:val="00F22639"/>
    <w:rsid w:val="00F2278D"/>
    <w:rsid w:val="00F22C81"/>
    <w:rsid w:val="00F22D3E"/>
    <w:rsid w:val="00F22DCC"/>
    <w:rsid w:val="00F22EEB"/>
    <w:rsid w:val="00F22F23"/>
    <w:rsid w:val="00F2304D"/>
    <w:rsid w:val="00F23243"/>
    <w:rsid w:val="00F23298"/>
    <w:rsid w:val="00F2337D"/>
    <w:rsid w:val="00F235BB"/>
    <w:rsid w:val="00F236D5"/>
    <w:rsid w:val="00F2381B"/>
    <w:rsid w:val="00F2397F"/>
    <w:rsid w:val="00F23A43"/>
    <w:rsid w:val="00F23ABE"/>
    <w:rsid w:val="00F23C14"/>
    <w:rsid w:val="00F23CA4"/>
    <w:rsid w:val="00F23DC1"/>
    <w:rsid w:val="00F24205"/>
    <w:rsid w:val="00F24391"/>
    <w:rsid w:val="00F243FD"/>
    <w:rsid w:val="00F244A3"/>
    <w:rsid w:val="00F24558"/>
    <w:rsid w:val="00F2464B"/>
    <w:rsid w:val="00F248C1"/>
    <w:rsid w:val="00F24B3D"/>
    <w:rsid w:val="00F24BF9"/>
    <w:rsid w:val="00F24C21"/>
    <w:rsid w:val="00F24C98"/>
    <w:rsid w:val="00F24D90"/>
    <w:rsid w:val="00F2540D"/>
    <w:rsid w:val="00F255BA"/>
    <w:rsid w:val="00F257E4"/>
    <w:rsid w:val="00F25A40"/>
    <w:rsid w:val="00F25C9D"/>
    <w:rsid w:val="00F25E86"/>
    <w:rsid w:val="00F25F23"/>
    <w:rsid w:val="00F25F82"/>
    <w:rsid w:val="00F26083"/>
    <w:rsid w:val="00F2635C"/>
    <w:rsid w:val="00F267E3"/>
    <w:rsid w:val="00F26861"/>
    <w:rsid w:val="00F26937"/>
    <w:rsid w:val="00F269D4"/>
    <w:rsid w:val="00F26C76"/>
    <w:rsid w:val="00F26E29"/>
    <w:rsid w:val="00F27141"/>
    <w:rsid w:val="00F27268"/>
    <w:rsid w:val="00F272A1"/>
    <w:rsid w:val="00F2734F"/>
    <w:rsid w:val="00F2744B"/>
    <w:rsid w:val="00F27478"/>
    <w:rsid w:val="00F277DD"/>
    <w:rsid w:val="00F27964"/>
    <w:rsid w:val="00F27A16"/>
    <w:rsid w:val="00F27E3A"/>
    <w:rsid w:val="00F3012A"/>
    <w:rsid w:val="00F302A0"/>
    <w:rsid w:val="00F304A2"/>
    <w:rsid w:val="00F3059B"/>
    <w:rsid w:val="00F3068A"/>
    <w:rsid w:val="00F30996"/>
    <w:rsid w:val="00F309BE"/>
    <w:rsid w:val="00F30C99"/>
    <w:rsid w:val="00F30D78"/>
    <w:rsid w:val="00F30E30"/>
    <w:rsid w:val="00F30E7A"/>
    <w:rsid w:val="00F30F07"/>
    <w:rsid w:val="00F31054"/>
    <w:rsid w:val="00F310F2"/>
    <w:rsid w:val="00F31131"/>
    <w:rsid w:val="00F31320"/>
    <w:rsid w:val="00F31355"/>
    <w:rsid w:val="00F317C4"/>
    <w:rsid w:val="00F3186D"/>
    <w:rsid w:val="00F31908"/>
    <w:rsid w:val="00F31963"/>
    <w:rsid w:val="00F3198B"/>
    <w:rsid w:val="00F31A5B"/>
    <w:rsid w:val="00F31B27"/>
    <w:rsid w:val="00F31FF8"/>
    <w:rsid w:val="00F323BF"/>
    <w:rsid w:val="00F3246A"/>
    <w:rsid w:val="00F324FB"/>
    <w:rsid w:val="00F32758"/>
    <w:rsid w:val="00F32811"/>
    <w:rsid w:val="00F32832"/>
    <w:rsid w:val="00F329DD"/>
    <w:rsid w:val="00F32B5F"/>
    <w:rsid w:val="00F32B84"/>
    <w:rsid w:val="00F32C0C"/>
    <w:rsid w:val="00F32F3E"/>
    <w:rsid w:val="00F32F4C"/>
    <w:rsid w:val="00F33003"/>
    <w:rsid w:val="00F330B0"/>
    <w:rsid w:val="00F330B1"/>
    <w:rsid w:val="00F33126"/>
    <w:rsid w:val="00F3315D"/>
    <w:rsid w:val="00F333D2"/>
    <w:rsid w:val="00F33444"/>
    <w:rsid w:val="00F33486"/>
    <w:rsid w:val="00F33768"/>
    <w:rsid w:val="00F33798"/>
    <w:rsid w:val="00F3379A"/>
    <w:rsid w:val="00F3386A"/>
    <w:rsid w:val="00F339C2"/>
    <w:rsid w:val="00F33BB6"/>
    <w:rsid w:val="00F33BBD"/>
    <w:rsid w:val="00F33C01"/>
    <w:rsid w:val="00F33FF5"/>
    <w:rsid w:val="00F34037"/>
    <w:rsid w:val="00F3445B"/>
    <w:rsid w:val="00F34581"/>
    <w:rsid w:val="00F347F9"/>
    <w:rsid w:val="00F34817"/>
    <w:rsid w:val="00F34E50"/>
    <w:rsid w:val="00F34E84"/>
    <w:rsid w:val="00F35059"/>
    <w:rsid w:val="00F35385"/>
    <w:rsid w:val="00F35408"/>
    <w:rsid w:val="00F3560E"/>
    <w:rsid w:val="00F3577C"/>
    <w:rsid w:val="00F3582E"/>
    <w:rsid w:val="00F35972"/>
    <w:rsid w:val="00F359B3"/>
    <w:rsid w:val="00F359E1"/>
    <w:rsid w:val="00F35A2C"/>
    <w:rsid w:val="00F35A79"/>
    <w:rsid w:val="00F35DB5"/>
    <w:rsid w:val="00F35E81"/>
    <w:rsid w:val="00F35EEB"/>
    <w:rsid w:val="00F36147"/>
    <w:rsid w:val="00F361C0"/>
    <w:rsid w:val="00F36331"/>
    <w:rsid w:val="00F36349"/>
    <w:rsid w:val="00F36544"/>
    <w:rsid w:val="00F36588"/>
    <w:rsid w:val="00F365F9"/>
    <w:rsid w:val="00F3662A"/>
    <w:rsid w:val="00F3669C"/>
    <w:rsid w:val="00F3697A"/>
    <w:rsid w:val="00F36ADB"/>
    <w:rsid w:val="00F36E27"/>
    <w:rsid w:val="00F36E8F"/>
    <w:rsid w:val="00F36F9A"/>
    <w:rsid w:val="00F36FE2"/>
    <w:rsid w:val="00F370C6"/>
    <w:rsid w:val="00F370FB"/>
    <w:rsid w:val="00F371A0"/>
    <w:rsid w:val="00F37373"/>
    <w:rsid w:val="00F3747A"/>
    <w:rsid w:val="00F37813"/>
    <w:rsid w:val="00F37877"/>
    <w:rsid w:val="00F3789E"/>
    <w:rsid w:val="00F37941"/>
    <w:rsid w:val="00F37C29"/>
    <w:rsid w:val="00F37E54"/>
    <w:rsid w:val="00F37EFF"/>
    <w:rsid w:val="00F37F8D"/>
    <w:rsid w:val="00F40052"/>
    <w:rsid w:val="00F40097"/>
    <w:rsid w:val="00F4014D"/>
    <w:rsid w:val="00F401CF"/>
    <w:rsid w:val="00F4033F"/>
    <w:rsid w:val="00F403B8"/>
    <w:rsid w:val="00F4041B"/>
    <w:rsid w:val="00F404F4"/>
    <w:rsid w:val="00F405E9"/>
    <w:rsid w:val="00F4063F"/>
    <w:rsid w:val="00F4087F"/>
    <w:rsid w:val="00F4096B"/>
    <w:rsid w:val="00F40B10"/>
    <w:rsid w:val="00F40B45"/>
    <w:rsid w:val="00F40BD6"/>
    <w:rsid w:val="00F40CB7"/>
    <w:rsid w:val="00F40EA7"/>
    <w:rsid w:val="00F40F5D"/>
    <w:rsid w:val="00F41111"/>
    <w:rsid w:val="00F41273"/>
    <w:rsid w:val="00F4127F"/>
    <w:rsid w:val="00F413F0"/>
    <w:rsid w:val="00F4159A"/>
    <w:rsid w:val="00F4176B"/>
    <w:rsid w:val="00F41D76"/>
    <w:rsid w:val="00F41ECA"/>
    <w:rsid w:val="00F420F5"/>
    <w:rsid w:val="00F42193"/>
    <w:rsid w:val="00F421C9"/>
    <w:rsid w:val="00F42201"/>
    <w:rsid w:val="00F4225F"/>
    <w:rsid w:val="00F422D2"/>
    <w:rsid w:val="00F42326"/>
    <w:rsid w:val="00F42334"/>
    <w:rsid w:val="00F424F4"/>
    <w:rsid w:val="00F42590"/>
    <w:rsid w:val="00F427EF"/>
    <w:rsid w:val="00F4291F"/>
    <w:rsid w:val="00F42A38"/>
    <w:rsid w:val="00F42A5B"/>
    <w:rsid w:val="00F42AEE"/>
    <w:rsid w:val="00F42C5C"/>
    <w:rsid w:val="00F42DE1"/>
    <w:rsid w:val="00F42E24"/>
    <w:rsid w:val="00F43097"/>
    <w:rsid w:val="00F43161"/>
    <w:rsid w:val="00F43178"/>
    <w:rsid w:val="00F43245"/>
    <w:rsid w:val="00F43291"/>
    <w:rsid w:val="00F43364"/>
    <w:rsid w:val="00F43384"/>
    <w:rsid w:val="00F4365E"/>
    <w:rsid w:val="00F436AE"/>
    <w:rsid w:val="00F43993"/>
    <w:rsid w:val="00F43A0D"/>
    <w:rsid w:val="00F43A88"/>
    <w:rsid w:val="00F43CC8"/>
    <w:rsid w:val="00F43D69"/>
    <w:rsid w:val="00F440CC"/>
    <w:rsid w:val="00F4427D"/>
    <w:rsid w:val="00F44780"/>
    <w:rsid w:val="00F4479B"/>
    <w:rsid w:val="00F44985"/>
    <w:rsid w:val="00F449F7"/>
    <w:rsid w:val="00F44AB8"/>
    <w:rsid w:val="00F44C20"/>
    <w:rsid w:val="00F44DA6"/>
    <w:rsid w:val="00F44EE9"/>
    <w:rsid w:val="00F44F8A"/>
    <w:rsid w:val="00F45048"/>
    <w:rsid w:val="00F45052"/>
    <w:rsid w:val="00F45151"/>
    <w:rsid w:val="00F45266"/>
    <w:rsid w:val="00F452F1"/>
    <w:rsid w:val="00F45379"/>
    <w:rsid w:val="00F45404"/>
    <w:rsid w:val="00F454F1"/>
    <w:rsid w:val="00F45763"/>
    <w:rsid w:val="00F458B6"/>
    <w:rsid w:val="00F458DF"/>
    <w:rsid w:val="00F45ADE"/>
    <w:rsid w:val="00F45B81"/>
    <w:rsid w:val="00F45CB3"/>
    <w:rsid w:val="00F45D8C"/>
    <w:rsid w:val="00F45DB0"/>
    <w:rsid w:val="00F45E5E"/>
    <w:rsid w:val="00F45EF5"/>
    <w:rsid w:val="00F46083"/>
    <w:rsid w:val="00F46462"/>
    <w:rsid w:val="00F4652B"/>
    <w:rsid w:val="00F4688D"/>
    <w:rsid w:val="00F46B45"/>
    <w:rsid w:val="00F46BD0"/>
    <w:rsid w:val="00F46D20"/>
    <w:rsid w:val="00F46DDA"/>
    <w:rsid w:val="00F46E47"/>
    <w:rsid w:val="00F46FD2"/>
    <w:rsid w:val="00F47086"/>
    <w:rsid w:val="00F4729D"/>
    <w:rsid w:val="00F472D5"/>
    <w:rsid w:val="00F47337"/>
    <w:rsid w:val="00F47610"/>
    <w:rsid w:val="00F476C7"/>
    <w:rsid w:val="00F47799"/>
    <w:rsid w:val="00F478A1"/>
    <w:rsid w:val="00F479DD"/>
    <w:rsid w:val="00F47B3A"/>
    <w:rsid w:val="00F47BF3"/>
    <w:rsid w:val="00F47CD8"/>
    <w:rsid w:val="00F47DFB"/>
    <w:rsid w:val="00F47E2F"/>
    <w:rsid w:val="00F50539"/>
    <w:rsid w:val="00F5054C"/>
    <w:rsid w:val="00F505C0"/>
    <w:rsid w:val="00F505F1"/>
    <w:rsid w:val="00F505FF"/>
    <w:rsid w:val="00F50668"/>
    <w:rsid w:val="00F50683"/>
    <w:rsid w:val="00F50D06"/>
    <w:rsid w:val="00F50EEB"/>
    <w:rsid w:val="00F51094"/>
    <w:rsid w:val="00F510A1"/>
    <w:rsid w:val="00F5110B"/>
    <w:rsid w:val="00F511CA"/>
    <w:rsid w:val="00F51375"/>
    <w:rsid w:val="00F51541"/>
    <w:rsid w:val="00F51732"/>
    <w:rsid w:val="00F51877"/>
    <w:rsid w:val="00F51AC6"/>
    <w:rsid w:val="00F51CCB"/>
    <w:rsid w:val="00F51CEC"/>
    <w:rsid w:val="00F51D50"/>
    <w:rsid w:val="00F520AD"/>
    <w:rsid w:val="00F520F7"/>
    <w:rsid w:val="00F52264"/>
    <w:rsid w:val="00F5244C"/>
    <w:rsid w:val="00F52651"/>
    <w:rsid w:val="00F52710"/>
    <w:rsid w:val="00F52977"/>
    <w:rsid w:val="00F52AE4"/>
    <w:rsid w:val="00F52BFD"/>
    <w:rsid w:val="00F52C05"/>
    <w:rsid w:val="00F52CC6"/>
    <w:rsid w:val="00F52D1D"/>
    <w:rsid w:val="00F530D3"/>
    <w:rsid w:val="00F530FD"/>
    <w:rsid w:val="00F53135"/>
    <w:rsid w:val="00F532D7"/>
    <w:rsid w:val="00F533BD"/>
    <w:rsid w:val="00F534A8"/>
    <w:rsid w:val="00F534BA"/>
    <w:rsid w:val="00F537D1"/>
    <w:rsid w:val="00F537E2"/>
    <w:rsid w:val="00F538B6"/>
    <w:rsid w:val="00F53908"/>
    <w:rsid w:val="00F53A86"/>
    <w:rsid w:val="00F53AA3"/>
    <w:rsid w:val="00F53B80"/>
    <w:rsid w:val="00F53BD6"/>
    <w:rsid w:val="00F53C61"/>
    <w:rsid w:val="00F53FEF"/>
    <w:rsid w:val="00F54256"/>
    <w:rsid w:val="00F54300"/>
    <w:rsid w:val="00F54340"/>
    <w:rsid w:val="00F5436A"/>
    <w:rsid w:val="00F5464D"/>
    <w:rsid w:val="00F5466F"/>
    <w:rsid w:val="00F546EA"/>
    <w:rsid w:val="00F54718"/>
    <w:rsid w:val="00F548A2"/>
    <w:rsid w:val="00F548A9"/>
    <w:rsid w:val="00F5490B"/>
    <w:rsid w:val="00F54925"/>
    <w:rsid w:val="00F5499C"/>
    <w:rsid w:val="00F54A82"/>
    <w:rsid w:val="00F54AA8"/>
    <w:rsid w:val="00F54B72"/>
    <w:rsid w:val="00F54C37"/>
    <w:rsid w:val="00F54D2F"/>
    <w:rsid w:val="00F54DC3"/>
    <w:rsid w:val="00F54ED3"/>
    <w:rsid w:val="00F54EE2"/>
    <w:rsid w:val="00F54FEA"/>
    <w:rsid w:val="00F55197"/>
    <w:rsid w:val="00F551C7"/>
    <w:rsid w:val="00F55217"/>
    <w:rsid w:val="00F5533D"/>
    <w:rsid w:val="00F5536C"/>
    <w:rsid w:val="00F553DA"/>
    <w:rsid w:val="00F557DD"/>
    <w:rsid w:val="00F5580F"/>
    <w:rsid w:val="00F55894"/>
    <w:rsid w:val="00F55B72"/>
    <w:rsid w:val="00F55C9C"/>
    <w:rsid w:val="00F55CFF"/>
    <w:rsid w:val="00F55D55"/>
    <w:rsid w:val="00F55DE1"/>
    <w:rsid w:val="00F55DE7"/>
    <w:rsid w:val="00F55E09"/>
    <w:rsid w:val="00F55F24"/>
    <w:rsid w:val="00F560B8"/>
    <w:rsid w:val="00F560FD"/>
    <w:rsid w:val="00F563AF"/>
    <w:rsid w:val="00F563BA"/>
    <w:rsid w:val="00F5667A"/>
    <w:rsid w:val="00F5680E"/>
    <w:rsid w:val="00F569EB"/>
    <w:rsid w:val="00F56A4C"/>
    <w:rsid w:val="00F56ADD"/>
    <w:rsid w:val="00F56DF6"/>
    <w:rsid w:val="00F56E58"/>
    <w:rsid w:val="00F56F0D"/>
    <w:rsid w:val="00F56FD9"/>
    <w:rsid w:val="00F5718E"/>
    <w:rsid w:val="00F57303"/>
    <w:rsid w:val="00F57619"/>
    <w:rsid w:val="00F57638"/>
    <w:rsid w:val="00F57688"/>
    <w:rsid w:val="00F57736"/>
    <w:rsid w:val="00F57782"/>
    <w:rsid w:val="00F57AE3"/>
    <w:rsid w:val="00F57B3E"/>
    <w:rsid w:val="00F57CD9"/>
    <w:rsid w:val="00F57D38"/>
    <w:rsid w:val="00F57E31"/>
    <w:rsid w:val="00F57E4C"/>
    <w:rsid w:val="00F57F78"/>
    <w:rsid w:val="00F600F3"/>
    <w:rsid w:val="00F6024E"/>
    <w:rsid w:val="00F602B0"/>
    <w:rsid w:val="00F60339"/>
    <w:rsid w:val="00F603B0"/>
    <w:rsid w:val="00F60425"/>
    <w:rsid w:val="00F604F4"/>
    <w:rsid w:val="00F6079E"/>
    <w:rsid w:val="00F6086B"/>
    <w:rsid w:val="00F60882"/>
    <w:rsid w:val="00F608B6"/>
    <w:rsid w:val="00F60ACF"/>
    <w:rsid w:val="00F60BC1"/>
    <w:rsid w:val="00F61086"/>
    <w:rsid w:val="00F6113A"/>
    <w:rsid w:val="00F61264"/>
    <w:rsid w:val="00F6136F"/>
    <w:rsid w:val="00F6158F"/>
    <w:rsid w:val="00F61832"/>
    <w:rsid w:val="00F618EB"/>
    <w:rsid w:val="00F6193C"/>
    <w:rsid w:val="00F619B0"/>
    <w:rsid w:val="00F61A3C"/>
    <w:rsid w:val="00F61CDC"/>
    <w:rsid w:val="00F61DF9"/>
    <w:rsid w:val="00F61E48"/>
    <w:rsid w:val="00F61E7F"/>
    <w:rsid w:val="00F61F22"/>
    <w:rsid w:val="00F61FBC"/>
    <w:rsid w:val="00F61FE4"/>
    <w:rsid w:val="00F62264"/>
    <w:rsid w:val="00F6274D"/>
    <w:rsid w:val="00F6292C"/>
    <w:rsid w:val="00F62B27"/>
    <w:rsid w:val="00F62F89"/>
    <w:rsid w:val="00F630E7"/>
    <w:rsid w:val="00F630ED"/>
    <w:rsid w:val="00F6315D"/>
    <w:rsid w:val="00F63182"/>
    <w:rsid w:val="00F6319F"/>
    <w:rsid w:val="00F63393"/>
    <w:rsid w:val="00F633E1"/>
    <w:rsid w:val="00F63433"/>
    <w:rsid w:val="00F63561"/>
    <w:rsid w:val="00F63584"/>
    <w:rsid w:val="00F6386E"/>
    <w:rsid w:val="00F6399C"/>
    <w:rsid w:val="00F63A59"/>
    <w:rsid w:val="00F63BEC"/>
    <w:rsid w:val="00F63C74"/>
    <w:rsid w:val="00F63FF3"/>
    <w:rsid w:val="00F64027"/>
    <w:rsid w:val="00F64332"/>
    <w:rsid w:val="00F6440E"/>
    <w:rsid w:val="00F64414"/>
    <w:rsid w:val="00F64424"/>
    <w:rsid w:val="00F64689"/>
    <w:rsid w:val="00F648CA"/>
    <w:rsid w:val="00F648E5"/>
    <w:rsid w:val="00F64B37"/>
    <w:rsid w:val="00F64CC3"/>
    <w:rsid w:val="00F64CFF"/>
    <w:rsid w:val="00F64D4B"/>
    <w:rsid w:val="00F64D51"/>
    <w:rsid w:val="00F64E3B"/>
    <w:rsid w:val="00F64EA6"/>
    <w:rsid w:val="00F6513B"/>
    <w:rsid w:val="00F65163"/>
    <w:rsid w:val="00F65296"/>
    <w:rsid w:val="00F65428"/>
    <w:rsid w:val="00F657DE"/>
    <w:rsid w:val="00F65846"/>
    <w:rsid w:val="00F65BC0"/>
    <w:rsid w:val="00F65BF2"/>
    <w:rsid w:val="00F65D11"/>
    <w:rsid w:val="00F65DF5"/>
    <w:rsid w:val="00F660BB"/>
    <w:rsid w:val="00F66129"/>
    <w:rsid w:val="00F66193"/>
    <w:rsid w:val="00F661C7"/>
    <w:rsid w:val="00F662EA"/>
    <w:rsid w:val="00F66424"/>
    <w:rsid w:val="00F6645A"/>
    <w:rsid w:val="00F66481"/>
    <w:rsid w:val="00F6679B"/>
    <w:rsid w:val="00F6680A"/>
    <w:rsid w:val="00F668E6"/>
    <w:rsid w:val="00F66931"/>
    <w:rsid w:val="00F66D5B"/>
    <w:rsid w:val="00F66E1C"/>
    <w:rsid w:val="00F66F0D"/>
    <w:rsid w:val="00F670A5"/>
    <w:rsid w:val="00F6710F"/>
    <w:rsid w:val="00F67126"/>
    <w:rsid w:val="00F6743B"/>
    <w:rsid w:val="00F6744A"/>
    <w:rsid w:val="00F674D4"/>
    <w:rsid w:val="00F6751E"/>
    <w:rsid w:val="00F67608"/>
    <w:rsid w:val="00F67664"/>
    <w:rsid w:val="00F67948"/>
    <w:rsid w:val="00F67A60"/>
    <w:rsid w:val="00F67B24"/>
    <w:rsid w:val="00F67B41"/>
    <w:rsid w:val="00F67B51"/>
    <w:rsid w:val="00F67EFF"/>
    <w:rsid w:val="00F67F27"/>
    <w:rsid w:val="00F701C4"/>
    <w:rsid w:val="00F70213"/>
    <w:rsid w:val="00F70387"/>
    <w:rsid w:val="00F70431"/>
    <w:rsid w:val="00F70549"/>
    <w:rsid w:val="00F70800"/>
    <w:rsid w:val="00F70901"/>
    <w:rsid w:val="00F709F9"/>
    <w:rsid w:val="00F70AAD"/>
    <w:rsid w:val="00F710C1"/>
    <w:rsid w:val="00F7121A"/>
    <w:rsid w:val="00F7138E"/>
    <w:rsid w:val="00F7143A"/>
    <w:rsid w:val="00F714EC"/>
    <w:rsid w:val="00F717DE"/>
    <w:rsid w:val="00F7199D"/>
    <w:rsid w:val="00F719DF"/>
    <w:rsid w:val="00F71C77"/>
    <w:rsid w:val="00F71CA4"/>
    <w:rsid w:val="00F71DB2"/>
    <w:rsid w:val="00F71F11"/>
    <w:rsid w:val="00F71FA0"/>
    <w:rsid w:val="00F71FD7"/>
    <w:rsid w:val="00F72004"/>
    <w:rsid w:val="00F720BD"/>
    <w:rsid w:val="00F720FD"/>
    <w:rsid w:val="00F72189"/>
    <w:rsid w:val="00F72358"/>
    <w:rsid w:val="00F7242F"/>
    <w:rsid w:val="00F72463"/>
    <w:rsid w:val="00F7256B"/>
    <w:rsid w:val="00F72692"/>
    <w:rsid w:val="00F72775"/>
    <w:rsid w:val="00F7278B"/>
    <w:rsid w:val="00F72813"/>
    <w:rsid w:val="00F72893"/>
    <w:rsid w:val="00F72ACB"/>
    <w:rsid w:val="00F72C30"/>
    <w:rsid w:val="00F72C7D"/>
    <w:rsid w:val="00F72D87"/>
    <w:rsid w:val="00F72DAE"/>
    <w:rsid w:val="00F72E6C"/>
    <w:rsid w:val="00F72EE5"/>
    <w:rsid w:val="00F72F08"/>
    <w:rsid w:val="00F72F73"/>
    <w:rsid w:val="00F72FD3"/>
    <w:rsid w:val="00F73119"/>
    <w:rsid w:val="00F731B8"/>
    <w:rsid w:val="00F73364"/>
    <w:rsid w:val="00F73569"/>
    <w:rsid w:val="00F735F1"/>
    <w:rsid w:val="00F73653"/>
    <w:rsid w:val="00F736B0"/>
    <w:rsid w:val="00F73946"/>
    <w:rsid w:val="00F73F25"/>
    <w:rsid w:val="00F73F3C"/>
    <w:rsid w:val="00F73F43"/>
    <w:rsid w:val="00F7407A"/>
    <w:rsid w:val="00F7411E"/>
    <w:rsid w:val="00F742D8"/>
    <w:rsid w:val="00F74306"/>
    <w:rsid w:val="00F7439B"/>
    <w:rsid w:val="00F74453"/>
    <w:rsid w:val="00F7454C"/>
    <w:rsid w:val="00F7469D"/>
    <w:rsid w:val="00F74A79"/>
    <w:rsid w:val="00F74B8F"/>
    <w:rsid w:val="00F74BFA"/>
    <w:rsid w:val="00F74D23"/>
    <w:rsid w:val="00F74E06"/>
    <w:rsid w:val="00F74F75"/>
    <w:rsid w:val="00F75222"/>
    <w:rsid w:val="00F752A2"/>
    <w:rsid w:val="00F752EB"/>
    <w:rsid w:val="00F753F5"/>
    <w:rsid w:val="00F75457"/>
    <w:rsid w:val="00F7557F"/>
    <w:rsid w:val="00F7587D"/>
    <w:rsid w:val="00F75B0C"/>
    <w:rsid w:val="00F75B64"/>
    <w:rsid w:val="00F75CF3"/>
    <w:rsid w:val="00F75CF7"/>
    <w:rsid w:val="00F76089"/>
    <w:rsid w:val="00F76234"/>
    <w:rsid w:val="00F762ED"/>
    <w:rsid w:val="00F76309"/>
    <w:rsid w:val="00F7633F"/>
    <w:rsid w:val="00F76475"/>
    <w:rsid w:val="00F7651A"/>
    <w:rsid w:val="00F76693"/>
    <w:rsid w:val="00F76698"/>
    <w:rsid w:val="00F76715"/>
    <w:rsid w:val="00F76867"/>
    <w:rsid w:val="00F76A00"/>
    <w:rsid w:val="00F76AB7"/>
    <w:rsid w:val="00F76F10"/>
    <w:rsid w:val="00F76F1D"/>
    <w:rsid w:val="00F77028"/>
    <w:rsid w:val="00F7721F"/>
    <w:rsid w:val="00F77431"/>
    <w:rsid w:val="00F775B7"/>
    <w:rsid w:val="00F7774B"/>
    <w:rsid w:val="00F779A3"/>
    <w:rsid w:val="00F77B44"/>
    <w:rsid w:val="00F77CBA"/>
    <w:rsid w:val="00F77F56"/>
    <w:rsid w:val="00F801D3"/>
    <w:rsid w:val="00F80220"/>
    <w:rsid w:val="00F803FC"/>
    <w:rsid w:val="00F804D9"/>
    <w:rsid w:val="00F8052B"/>
    <w:rsid w:val="00F805E5"/>
    <w:rsid w:val="00F80830"/>
    <w:rsid w:val="00F80841"/>
    <w:rsid w:val="00F80941"/>
    <w:rsid w:val="00F80B28"/>
    <w:rsid w:val="00F80B4C"/>
    <w:rsid w:val="00F80D78"/>
    <w:rsid w:val="00F80DB4"/>
    <w:rsid w:val="00F80EBB"/>
    <w:rsid w:val="00F80F2B"/>
    <w:rsid w:val="00F81013"/>
    <w:rsid w:val="00F81162"/>
    <w:rsid w:val="00F8119B"/>
    <w:rsid w:val="00F812DC"/>
    <w:rsid w:val="00F813BD"/>
    <w:rsid w:val="00F81465"/>
    <w:rsid w:val="00F814DE"/>
    <w:rsid w:val="00F816D0"/>
    <w:rsid w:val="00F818CF"/>
    <w:rsid w:val="00F819F1"/>
    <w:rsid w:val="00F81A53"/>
    <w:rsid w:val="00F81B06"/>
    <w:rsid w:val="00F81B09"/>
    <w:rsid w:val="00F81B18"/>
    <w:rsid w:val="00F81C7B"/>
    <w:rsid w:val="00F81CF7"/>
    <w:rsid w:val="00F81EE7"/>
    <w:rsid w:val="00F81EFD"/>
    <w:rsid w:val="00F81F52"/>
    <w:rsid w:val="00F81F97"/>
    <w:rsid w:val="00F821B6"/>
    <w:rsid w:val="00F822E5"/>
    <w:rsid w:val="00F82711"/>
    <w:rsid w:val="00F8290E"/>
    <w:rsid w:val="00F82A82"/>
    <w:rsid w:val="00F82E64"/>
    <w:rsid w:val="00F82FC0"/>
    <w:rsid w:val="00F82FD0"/>
    <w:rsid w:val="00F83076"/>
    <w:rsid w:val="00F830B8"/>
    <w:rsid w:val="00F8310E"/>
    <w:rsid w:val="00F8339B"/>
    <w:rsid w:val="00F835DF"/>
    <w:rsid w:val="00F8365E"/>
    <w:rsid w:val="00F83821"/>
    <w:rsid w:val="00F83A0D"/>
    <w:rsid w:val="00F83A92"/>
    <w:rsid w:val="00F83AA3"/>
    <w:rsid w:val="00F83D05"/>
    <w:rsid w:val="00F83DE3"/>
    <w:rsid w:val="00F83E9A"/>
    <w:rsid w:val="00F8400E"/>
    <w:rsid w:val="00F84144"/>
    <w:rsid w:val="00F841BF"/>
    <w:rsid w:val="00F842A0"/>
    <w:rsid w:val="00F8441D"/>
    <w:rsid w:val="00F84695"/>
    <w:rsid w:val="00F84730"/>
    <w:rsid w:val="00F84742"/>
    <w:rsid w:val="00F84835"/>
    <w:rsid w:val="00F848CC"/>
    <w:rsid w:val="00F848E3"/>
    <w:rsid w:val="00F848EA"/>
    <w:rsid w:val="00F848FD"/>
    <w:rsid w:val="00F8496F"/>
    <w:rsid w:val="00F84A32"/>
    <w:rsid w:val="00F84A73"/>
    <w:rsid w:val="00F84AD4"/>
    <w:rsid w:val="00F84ADB"/>
    <w:rsid w:val="00F84AE9"/>
    <w:rsid w:val="00F84D54"/>
    <w:rsid w:val="00F850D7"/>
    <w:rsid w:val="00F852B4"/>
    <w:rsid w:val="00F85438"/>
    <w:rsid w:val="00F8557A"/>
    <w:rsid w:val="00F855BC"/>
    <w:rsid w:val="00F8574F"/>
    <w:rsid w:val="00F858DE"/>
    <w:rsid w:val="00F85A70"/>
    <w:rsid w:val="00F85B05"/>
    <w:rsid w:val="00F85BAD"/>
    <w:rsid w:val="00F85E8B"/>
    <w:rsid w:val="00F85F9C"/>
    <w:rsid w:val="00F85FE3"/>
    <w:rsid w:val="00F860A6"/>
    <w:rsid w:val="00F860F9"/>
    <w:rsid w:val="00F86137"/>
    <w:rsid w:val="00F8616F"/>
    <w:rsid w:val="00F86230"/>
    <w:rsid w:val="00F86284"/>
    <w:rsid w:val="00F8631E"/>
    <w:rsid w:val="00F865A7"/>
    <w:rsid w:val="00F86612"/>
    <w:rsid w:val="00F867FC"/>
    <w:rsid w:val="00F868F2"/>
    <w:rsid w:val="00F86947"/>
    <w:rsid w:val="00F86990"/>
    <w:rsid w:val="00F86A2D"/>
    <w:rsid w:val="00F86C96"/>
    <w:rsid w:val="00F86DE4"/>
    <w:rsid w:val="00F86E52"/>
    <w:rsid w:val="00F86F67"/>
    <w:rsid w:val="00F8700C"/>
    <w:rsid w:val="00F87100"/>
    <w:rsid w:val="00F871D2"/>
    <w:rsid w:val="00F87212"/>
    <w:rsid w:val="00F872C5"/>
    <w:rsid w:val="00F87403"/>
    <w:rsid w:val="00F87649"/>
    <w:rsid w:val="00F876AB"/>
    <w:rsid w:val="00F8777A"/>
    <w:rsid w:val="00F877C2"/>
    <w:rsid w:val="00F87969"/>
    <w:rsid w:val="00F879C9"/>
    <w:rsid w:val="00F87A00"/>
    <w:rsid w:val="00F87B6E"/>
    <w:rsid w:val="00F87BC7"/>
    <w:rsid w:val="00F87BF1"/>
    <w:rsid w:val="00F87D17"/>
    <w:rsid w:val="00F87D20"/>
    <w:rsid w:val="00F87E0D"/>
    <w:rsid w:val="00F87E9E"/>
    <w:rsid w:val="00F87F3D"/>
    <w:rsid w:val="00F9008F"/>
    <w:rsid w:val="00F90192"/>
    <w:rsid w:val="00F90361"/>
    <w:rsid w:val="00F9066E"/>
    <w:rsid w:val="00F90783"/>
    <w:rsid w:val="00F90872"/>
    <w:rsid w:val="00F90A3C"/>
    <w:rsid w:val="00F90A48"/>
    <w:rsid w:val="00F90B58"/>
    <w:rsid w:val="00F90CD1"/>
    <w:rsid w:val="00F91407"/>
    <w:rsid w:val="00F91520"/>
    <w:rsid w:val="00F916A3"/>
    <w:rsid w:val="00F917DF"/>
    <w:rsid w:val="00F9185B"/>
    <w:rsid w:val="00F919BF"/>
    <w:rsid w:val="00F919FF"/>
    <w:rsid w:val="00F91A9C"/>
    <w:rsid w:val="00F91D69"/>
    <w:rsid w:val="00F91DF2"/>
    <w:rsid w:val="00F91E7F"/>
    <w:rsid w:val="00F91EB3"/>
    <w:rsid w:val="00F920DC"/>
    <w:rsid w:val="00F9226C"/>
    <w:rsid w:val="00F9241B"/>
    <w:rsid w:val="00F92539"/>
    <w:rsid w:val="00F9253B"/>
    <w:rsid w:val="00F9271B"/>
    <w:rsid w:val="00F9272F"/>
    <w:rsid w:val="00F9276A"/>
    <w:rsid w:val="00F927E9"/>
    <w:rsid w:val="00F9287A"/>
    <w:rsid w:val="00F928AE"/>
    <w:rsid w:val="00F92A7F"/>
    <w:rsid w:val="00F92B83"/>
    <w:rsid w:val="00F9304C"/>
    <w:rsid w:val="00F93075"/>
    <w:rsid w:val="00F93426"/>
    <w:rsid w:val="00F934B2"/>
    <w:rsid w:val="00F9356D"/>
    <w:rsid w:val="00F93695"/>
    <w:rsid w:val="00F936A5"/>
    <w:rsid w:val="00F939C2"/>
    <w:rsid w:val="00F93AC2"/>
    <w:rsid w:val="00F93C52"/>
    <w:rsid w:val="00F93C63"/>
    <w:rsid w:val="00F93E34"/>
    <w:rsid w:val="00F94178"/>
    <w:rsid w:val="00F941F8"/>
    <w:rsid w:val="00F942D6"/>
    <w:rsid w:val="00F94439"/>
    <w:rsid w:val="00F944EF"/>
    <w:rsid w:val="00F94699"/>
    <w:rsid w:val="00F94809"/>
    <w:rsid w:val="00F94851"/>
    <w:rsid w:val="00F948D0"/>
    <w:rsid w:val="00F94929"/>
    <w:rsid w:val="00F949A7"/>
    <w:rsid w:val="00F949FB"/>
    <w:rsid w:val="00F94AAA"/>
    <w:rsid w:val="00F94B10"/>
    <w:rsid w:val="00F94BF9"/>
    <w:rsid w:val="00F950C8"/>
    <w:rsid w:val="00F9518E"/>
    <w:rsid w:val="00F951C9"/>
    <w:rsid w:val="00F951E1"/>
    <w:rsid w:val="00F95271"/>
    <w:rsid w:val="00F953D7"/>
    <w:rsid w:val="00F955A2"/>
    <w:rsid w:val="00F955D4"/>
    <w:rsid w:val="00F957A9"/>
    <w:rsid w:val="00F958B6"/>
    <w:rsid w:val="00F958BA"/>
    <w:rsid w:val="00F958EC"/>
    <w:rsid w:val="00F95989"/>
    <w:rsid w:val="00F959F3"/>
    <w:rsid w:val="00F95DF2"/>
    <w:rsid w:val="00F95E36"/>
    <w:rsid w:val="00F95E84"/>
    <w:rsid w:val="00F95FB7"/>
    <w:rsid w:val="00F9601B"/>
    <w:rsid w:val="00F9630E"/>
    <w:rsid w:val="00F96453"/>
    <w:rsid w:val="00F9655E"/>
    <w:rsid w:val="00F96633"/>
    <w:rsid w:val="00F96680"/>
    <w:rsid w:val="00F96695"/>
    <w:rsid w:val="00F966A7"/>
    <w:rsid w:val="00F966DB"/>
    <w:rsid w:val="00F96786"/>
    <w:rsid w:val="00F9688A"/>
    <w:rsid w:val="00F96A25"/>
    <w:rsid w:val="00F96ADB"/>
    <w:rsid w:val="00F96B72"/>
    <w:rsid w:val="00F96C92"/>
    <w:rsid w:val="00F96CB5"/>
    <w:rsid w:val="00F96E38"/>
    <w:rsid w:val="00F96E72"/>
    <w:rsid w:val="00F97020"/>
    <w:rsid w:val="00F97144"/>
    <w:rsid w:val="00F972A3"/>
    <w:rsid w:val="00F974C8"/>
    <w:rsid w:val="00F975A3"/>
    <w:rsid w:val="00F977E9"/>
    <w:rsid w:val="00F97C02"/>
    <w:rsid w:val="00F97C40"/>
    <w:rsid w:val="00F97FC0"/>
    <w:rsid w:val="00FA0170"/>
    <w:rsid w:val="00FA03DE"/>
    <w:rsid w:val="00FA04DE"/>
    <w:rsid w:val="00FA04F9"/>
    <w:rsid w:val="00FA05A4"/>
    <w:rsid w:val="00FA097F"/>
    <w:rsid w:val="00FA0D0E"/>
    <w:rsid w:val="00FA0FD3"/>
    <w:rsid w:val="00FA1152"/>
    <w:rsid w:val="00FA11D9"/>
    <w:rsid w:val="00FA128C"/>
    <w:rsid w:val="00FA1483"/>
    <w:rsid w:val="00FA154A"/>
    <w:rsid w:val="00FA1551"/>
    <w:rsid w:val="00FA15D7"/>
    <w:rsid w:val="00FA16A0"/>
    <w:rsid w:val="00FA17A1"/>
    <w:rsid w:val="00FA1868"/>
    <w:rsid w:val="00FA191D"/>
    <w:rsid w:val="00FA196E"/>
    <w:rsid w:val="00FA1972"/>
    <w:rsid w:val="00FA1A7A"/>
    <w:rsid w:val="00FA1DD8"/>
    <w:rsid w:val="00FA1E32"/>
    <w:rsid w:val="00FA1F4E"/>
    <w:rsid w:val="00FA201D"/>
    <w:rsid w:val="00FA20E8"/>
    <w:rsid w:val="00FA213F"/>
    <w:rsid w:val="00FA21FC"/>
    <w:rsid w:val="00FA22E1"/>
    <w:rsid w:val="00FA22E9"/>
    <w:rsid w:val="00FA2339"/>
    <w:rsid w:val="00FA2678"/>
    <w:rsid w:val="00FA26DB"/>
    <w:rsid w:val="00FA27A9"/>
    <w:rsid w:val="00FA27EC"/>
    <w:rsid w:val="00FA29AB"/>
    <w:rsid w:val="00FA2DB6"/>
    <w:rsid w:val="00FA300D"/>
    <w:rsid w:val="00FA3080"/>
    <w:rsid w:val="00FA3383"/>
    <w:rsid w:val="00FA3388"/>
    <w:rsid w:val="00FA3429"/>
    <w:rsid w:val="00FA3675"/>
    <w:rsid w:val="00FA376E"/>
    <w:rsid w:val="00FA382C"/>
    <w:rsid w:val="00FA3909"/>
    <w:rsid w:val="00FA397E"/>
    <w:rsid w:val="00FA39D1"/>
    <w:rsid w:val="00FA3ABA"/>
    <w:rsid w:val="00FA3D5A"/>
    <w:rsid w:val="00FA3E9E"/>
    <w:rsid w:val="00FA3FA0"/>
    <w:rsid w:val="00FA40DB"/>
    <w:rsid w:val="00FA4443"/>
    <w:rsid w:val="00FA45AC"/>
    <w:rsid w:val="00FA47EF"/>
    <w:rsid w:val="00FA482E"/>
    <w:rsid w:val="00FA49A2"/>
    <w:rsid w:val="00FA4A8F"/>
    <w:rsid w:val="00FA4A99"/>
    <w:rsid w:val="00FA4C0B"/>
    <w:rsid w:val="00FA4DCB"/>
    <w:rsid w:val="00FA4E58"/>
    <w:rsid w:val="00FA4FDD"/>
    <w:rsid w:val="00FA537E"/>
    <w:rsid w:val="00FA558E"/>
    <w:rsid w:val="00FA562C"/>
    <w:rsid w:val="00FA5902"/>
    <w:rsid w:val="00FA5A72"/>
    <w:rsid w:val="00FA5A88"/>
    <w:rsid w:val="00FA5B2E"/>
    <w:rsid w:val="00FA5BBE"/>
    <w:rsid w:val="00FA5CDF"/>
    <w:rsid w:val="00FA5D15"/>
    <w:rsid w:val="00FA6171"/>
    <w:rsid w:val="00FA6226"/>
    <w:rsid w:val="00FA62BD"/>
    <w:rsid w:val="00FA64C8"/>
    <w:rsid w:val="00FA659A"/>
    <w:rsid w:val="00FA6778"/>
    <w:rsid w:val="00FA686B"/>
    <w:rsid w:val="00FA6966"/>
    <w:rsid w:val="00FA698B"/>
    <w:rsid w:val="00FA69E6"/>
    <w:rsid w:val="00FA6A6F"/>
    <w:rsid w:val="00FA6BA8"/>
    <w:rsid w:val="00FA6BFA"/>
    <w:rsid w:val="00FA6C0A"/>
    <w:rsid w:val="00FA6CBB"/>
    <w:rsid w:val="00FA6D3C"/>
    <w:rsid w:val="00FA6F5B"/>
    <w:rsid w:val="00FA702E"/>
    <w:rsid w:val="00FA70D6"/>
    <w:rsid w:val="00FA7184"/>
    <w:rsid w:val="00FA7289"/>
    <w:rsid w:val="00FA72CD"/>
    <w:rsid w:val="00FA735F"/>
    <w:rsid w:val="00FA743F"/>
    <w:rsid w:val="00FA7525"/>
    <w:rsid w:val="00FA763F"/>
    <w:rsid w:val="00FA76C7"/>
    <w:rsid w:val="00FA7776"/>
    <w:rsid w:val="00FA7A0A"/>
    <w:rsid w:val="00FA7BB1"/>
    <w:rsid w:val="00FA7C96"/>
    <w:rsid w:val="00FA7D1E"/>
    <w:rsid w:val="00FA7D5D"/>
    <w:rsid w:val="00FA7DB0"/>
    <w:rsid w:val="00FB0060"/>
    <w:rsid w:val="00FB01B8"/>
    <w:rsid w:val="00FB020F"/>
    <w:rsid w:val="00FB043D"/>
    <w:rsid w:val="00FB0495"/>
    <w:rsid w:val="00FB04A6"/>
    <w:rsid w:val="00FB0554"/>
    <w:rsid w:val="00FB0814"/>
    <w:rsid w:val="00FB08C1"/>
    <w:rsid w:val="00FB0AE9"/>
    <w:rsid w:val="00FB0D1C"/>
    <w:rsid w:val="00FB0DF7"/>
    <w:rsid w:val="00FB0E6C"/>
    <w:rsid w:val="00FB0EB2"/>
    <w:rsid w:val="00FB0FA2"/>
    <w:rsid w:val="00FB1089"/>
    <w:rsid w:val="00FB1349"/>
    <w:rsid w:val="00FB16A4"/>
    <w:rsid w:val="00FB172A"/>
    <w:rsid w:val="00FB172F"/>
    <w:rsid w:val="00FB17EB"/>
    <w:rsid w:val="00FB19A5"/>
    <w:rsid w:val="00FB1AB9"/>
    <w:rsid w:val="00FB1C84"/>
    <w:rsid w:val="00FB1C97"/>
    <w:rsid w:val="00FB1D94"/>
    <w:rsid w:val="00FB1E6D"/>
    <w:rsid w:val="00FB1F4E"/>
    <w:rsid w:val="00FB1F9F"/>
    <w:rsid w:val="00FB2014"/>
    <w:rsid w:val="00FB216D"/>
    <w:rsid w:val="00FB223D"/>
    <w:rsid w:val="00FB240F"/>
    <w:rsid w:val="00FB2422"/>
    <w:rsid w:val="00FB2480"/>
    <w:rsid w:val="00FB283F"/>
    <w:rsid w:val="00FB2870"/>
    <w:rsid w:val="00FB28E4"/>
    <w:rsid w:val="00FB2921"/>
    <w:rsid w:val="00FB2963"/>
    <w:rsid w:val="00FB2B48"/>
    <w:rsid w:val="00FB2CC0"/>
    <w:rsid w:val="00FB2DAB"/>
    <w:rsid w:val="00FB2F11"/>
    <w:rsid w:val="00FB320A"/>
    <w:rsid w:val="00FB32B7"/>
    <w:rsid w:val="00FB341D"/>
    <w:rsid w:val="00FB35A1"/>
    <w:rsid w:val="00FB3713"/>
    <w:rsid w:val="00FB3770"/>
    <w:rsid w:val="00FB3841"/>
    <w:rsid w:val="00FB38B6"/>
    <w:rsid w:val="00FB3940"/>
    <w:rsid w:val="00FB39A2"/>
    <w:rsid w:val="00FB3A69"/>
    <w:rsid w:val="00FB3C5F"/>
    <w:rsid w:val="00FB3CE6"/>
    <w:rsid w:val="00FB3D97"/>
    <w:rsid w:val="00FB3E96"/>
    <w:rsid w:val="00FB3ED6"/>
    <w:rsid w:val="00FB3FBA"/>
    <w:rsid w:val="00FB433A"/>
    <w:rsid w:val="00FB43E9"/>
    <w:rsid w:val="00FB4589"/>
    <w:rsid w:val="00FB458F"/>
    <w:rsid w:val="00FB45FA"/>
    <w:rsid w:val="00FB46B2"/>
    <w:rsid w:val="00FB4901"/>
    <w:rsid w:val="00FB4903"/>
    <w:rsid w:val="00FB493C"/>
    <w:rsid w:val="00FB4960"/>
    <w:rsid w:val="00FB4E35"/>
    <w:rsid w:val="00FB4E53"/>
    <w:rsid w:val="00FB4EDF"/>
    <w:rsid w:val="00FB4F34"/>
    <w:rsid w:val="00FB4F4A"/>
    <w:rsid w:val="00FB50E6"/>
    <w:rsid w:val="00FB5148"/>
    <w:rsid w:val="00FB5150"/>
    <w:rsid w:val="00FB5311"/>
    <w:rsid w:val="00FB5427"/>
    <w:rsid w:val="00FB5451"/>
    <w:rsid w:val="00FB547B"/>
    <w:rsid w:val="00FB561E"/>
    <w:rsid w:val="00FB58B0"/>
    <w:rsid w:val="00FB5B1A"/>
    <w:rsid w:val="00FB60C5"/>
    <w:rsid w:val="00FB62A6"/>
    <w:rsid w:val="00FB6310"/>
    <w:rsid w:val="00FB6440"/>
    <w:rsid w:val="00FB644B"/>
    <w:rsid w:val="00FB6520"/>
    <w:rsid w:val="00FB66CA"/>
    <w:rsid w:val="00FB66F4"/>
    <w:rsid w:val="00FB6714"/>
    <w:rsid w:val="00FB674F"/>
    <w:rsid w:val="00FB6A33"/>
    <w:rsid w:val="00FB6A88"/>
    <w:rsid w:val="00FB6EF4"/>
    <w:rsid w:val="00FB7077"/>
    <w:rsid w:val="00FB7255"/>
    <w:rsid w:val="00FB72B8"/>
    <w:rsid w:val="00FB73E6"/>
    <w:rsid w:val="00FB7577"/>
    <w:rsid w:val="00FB775E"/>
    <w:rsid w:val="00FB7820"/>
    <w:rsid w:val="00FB796F"/>
    <w:rsid w:val="00FB79FD"/>
    <w:rsid w:val="00FB7B9C"/>
    <w:rsid w:val="00FB7DCE"/>
    <w:rsid w:val="00FB7F91"/>
    <w:rsid w:val="00FC01AC"/>
    <w:rsid w:val="00FC01BD"/>
    <w:rsid w:val="00FC028D"/>
    <w:rsid w:val="00FC063A"/>
    <w:rsid w:val="00FC089F"/>
    <w:rsid w:val="00FC08C7"/>
    <w:rsid w:val="00FC0A26"/>
    <w:rsid w:val="00FC0C83"/>
    <w:rsid w:val="00FC0FDE"/>
    <w:rsid w:val="00FC1023"/>
    <w:rsid w:val="00FC10F2"/>
    <w:rsid w:val="00FC1225"/>
    <w:rsid w:val="00FC1401"/>
    <w:rsid w:val="00FC148A"/>
    <w:rsid w:val="00FC14B2"/>
    <w:rsid w:val="00FC1557"/>
    <w:rsid w:val="00FC158F"/>
    <w:rsid w:val="00FC15F7"/>
    <w:rsid w:val="00FC16FE"/>
    <w:rsid w:val="00FC1820"/>
    <w:rsid w:val="00FC18FE"/>
    <w:rsid w:val="00FC1B50"/>
    <w:rsid w:val="00FC1CBC"/>
    <w:rsid w:val="00FC1DD7"/>
    <w:rsid w:val="00FC1E43"/>
    <w:rsid w:val="00FC1F06"/>
    <w:rsid w:val="00FC2137"/>
    <w:rsid w:val="00FC214B"/>
    <w:rsid w:val="00FC2214"/>
    <w:rsid w:val="00FC248A"/>
    <w:rsid w:val="00FC26BA"/>
    <w:rsid w:val="00FC2A7F"/>
    <w:rsid w:val="00FC2BEA"/>
    <w:rsid w:val="00FC2C8A"/>
    <w:rsid w:val="00FC2E00"/>
    <w:rsid w:val="00FC2F18"/>
    <w:rsid w:val="00FC3094"/>
    <w:rsid w:val="00FC3138"/>
    <w:rsid w:val="00FC3172"/>
    <w:rsid w:val="00FC348A"/>
    <w:rsid w:val="00FC34A8"/>
    <w:rsid w:val="00FC3751"/>
    <w:rsid w:val="00FC3995"/>
    <w:rsid w:val="00FC3A41"/>
    <w:rsid w:val="00FC3B61"/>
    <w:rsid w:val="00FC3EC7"/>
    <w:rsid w:val="00FC3EFE"/>
    <w:rsid w:val="00FC3F67"/>
    <w:rsid w:val="00FC3F9D"/>
    <w:rsid w:val="00FC4004"/>
    <w:rsid w:val="00FC40E6"/>
    <w:rsid w:val="00FC4196"/>
    <w:rsid w:val="00FC42B7"/>
    <w:rsid w:val="00FC4699"/>
    <w:rsid w:val="00FC4828"/>
    <w:rsid w:val="00FC48C8"/>
    <w:rsid w:val="00FC4930"/>
    <w:rsid w:val="00FC4B36"/>
    <w:rsid w:val="00FC4BF9"/>
    <w:rsid w:val="00FC4D8F"/>
    <w:rsid w:val="00FC4E61"/>
    <w:rsid w:val="00FC4EC8"/>
    <w:rsid w:val="00FC4F1D"/>
    <w:rsid w:val="00FC508E"/>
    <w:rsid w:val="00FC512D"/>
    <w:rsid w:val="00FC5225"/>
    <w:rsid w:val="00FC5306"/>
    <w:rsid w:val="00FC54B8"/>
    <w:rsid w:val="00FC551A"/>
    <w:rsid w:val="00FC5956"/>
    <w:rsid w:val="00FC5AC3"/>
    <w:rsid w:val="00FC5CF7"/>
    <w:rsid w:val="00FC5D6D"/>
    <w:rsid w:val="00FC5E7D"/>
    <w:rsid w:val="00FC5E8C"/>
    <w:rsid w:val="00FC5F8E"/>
    <w:rsid w:val="00FC5F97"/>
    <w:rsid w:val="00FC6053"/>
    <w:rsid w:val="00FC6074"/>
    <w:rsid w:val="00FC6135"/>
    <w:rsid w:val="00FC6177"/>
    <w:rsid w:val="00FC666F"/>
    <w:rsid w:val="00FC6717"/>
    <w:rsid w:val="00FC6718"/>
    <w:rsid w:val="00FC6C39"/>
    <w:rsid w:val="00FC6CCA"/>
    <w:rsid w:val="00FC6D0A"/>
    <w:rsid w:val="00FC6E76"/>
    <w:rsid w:val="00FC6EB7"/>
    <w:rsid w:val="00FC6FD0"/>
    <w:rsid w:val="00FC7034"/>
    <w:rsid w:val="00FC7744"/>
    <w:rsid w:val="00FC77EF"/>
    <w:rsid w:val="00FC7A47"/>
    <w:rsid w:val="00FC7A66"/>
    <w:rsid w:val="00FC7F7B"/>
    <w:rsid w:val="00FD003F"/>
    <w:rsid w:val="00FD0112"/>
    <w:rsid w:val="00FD04EC"/>
    <w:rsid w:val="00FD06BA"/>
    <w:rsid w:val="00FD0A6C"/>
    <w:rsid w:val="00FD0AAA"/>
    <w:rsid w:val="00FD0C5D"/>
    <w:rsid w:val="00FD0C7C"/>
    <w:rsid w:val="00FD0DFF"/>
    <w:rsid w:val="00FD0E12"/>
    <w:rsid w:val="00FD132A"/>
    <w:rsid w:val="00FD15E7"/>
    <w:rsid w:val="00FD16FC"/>
    <w:rsid w:val="00FD172C"/>
    <w:rsid w:val="00FD17CE"/>
    <w:rsid w:val="00FD1953"/>
    <w:rsid w:val="00FD1B2D"/>
    <w:rsid w:val="00FD1B3C"/>
    <w:rsid w:val="00FD1F70"/>
    <w:rsid w:val="00FD1F8B"/>
    <w:rsid w:val="00FD2010"/>
    <w:rsid w:val="00FD2252"/>
    <w:rsid w:val="00FD22C2"/>
    <w:rsid w:val="00FD24B2"/>
    <w:rsid w:val="00FD2545"/>
    <w:rsid w:val="00FD2809"/>
    <w:rsid w:val="00FD2816"/>
    <w:rsid w:val="00FD2870"/>
    <w:rsid w:val="00FD2962"/>
    <w:rsid w:val="00FD2979"/>
    <w:rsid w:val="00FD29A2"/>
    <w:rsid w:val="00FD29F7"/>
    <w:rsid w:val="00FD2E0A"/>
    <w:rsid w:val="00FD2FDE"/>
    <w:rsid w:val="00FD3105"/>
    <w:rsid w:val="00FD3703"/>
    <w:rsid w:val="00FD391B"/>
    <w:rsid w:val="00FD395C"/>
    <w:rsid w:val="00FD3A3D"/>
    <w:rsid w:val="00FD3AA8"/>
    <w:rsid w:val="00FD3AB5"/>
    <w:rsid w:val="00FD3BB8"/>
    <w:rsid w:val="00FD3C3D"/>
    <w:rsid w:val="00FD3D7C"/>
    <w:rsid w:val="00FD404A"/>
    <w:rsid w:val="00FD417D"/>
    <w:rsid w:val="00FD42BF"/>
    <w:rsid w:val="00FD431E"/>
    <w:rsid w:val="00FD43A3"/>
    <w:rsid w:val="00FD43FC"/>
    <w:rsid w:val="00FD44EB"/>
    <w:rsid w:val="00FD4618"/>
    <w:rsid w:val="00FD467F"/>
    <w:rsid w:val="00FD4694"/>
    <w:rsid w:val="00FD46AD"/>
    <w:rsid w:val="00FD46C4"/>
    <w:rsid w:val="00FD4795"/>
    <w:rsid w:val="00FD4901"/>
    <w:rsid w:val="00FD4E52"/>
    <w:rsid w:val="00FD4ED9"/>
    <w:rsid w:val="00FD5019"/>
    <w:rsid w:val="00FD513A"/>
    <w:rsid w:val="00FD5388"/>
    <w:rsid w:val="00FD53F9"/>
    <w:rsid w:val="00FD5427"/>
    <w:rsid w:val="00FD54F6"/>
    <w:rsid w:val="00FD5539"/>
    <w:rsid w:val="00FD554E"/>
    <w:rsid w:val="00FD5562"/>
    <w:rsid w:val="00FD5703"/>
    <w:rsid w:val="00FD573B"/>
    <w:rsid w:val="00FD5868"/>
    <w:rsid w:val="00FD594C"/>
    <w:rsid w:val="00FD5C29"/>
    <w:rsid w:val="00FD5C43"/>
    <w:rsid w:val="00FD5CC4"/>
    <w:rsid w:val="00FD5EAC"/>
    <w:rsid w:val="00FD5EF7"/>
    <w:rsid w:val="00FD603C"/>
    <w:rsid w:val="00FD61BA"/>
    <w:rsid w:val="00FD63FC"/>
    <w:rsid w:val="00FD650B"/>
    <w:rsid w:val="00FD670F"/>
    <w:rsid w:val="00FD684F"/>
    <w:rsid w:val="00FD685C"/>
    <w:rsid w:val="00FD68D4"/>
    <w:rsid w:val="00FD6903"/>
    <w:rsid w:val="00FD6974"/>
    <w:rsid w:val="00FD6B31"/>
    <w:rsid w:val="00FD6B55"/>
    <w:rsid w:val="00FD6BA8"/>
    <w:rsid w:val="00FD6BC8"/>
    <w:rsid w:val="00FD6BD0"/>
    <w:rsid w:val="00FD6C92"/>
    <w:rsid w:val="00FD6F02"/>
    <w:rsid w:val="00FD6FFA"/>
    <w:rsid w:val="00FD7443"/>
    <w:rsid w:val="00FD769A"/>
    <w:rsid w:val="00FD7749"/>
    <w:rsid w:val="00FD77A1"/>
    <w:rsid w:val="00FD77D2"/>
    <w:rsid w:val="00FD7A95"/>
    <w:rsid w:val="00FD7B3A"/>
    <w:rsid w:val="00FD7B79"/>
    <w:rsid w:val="00FD7CDB"/>
    <w:rsid w:val="00FE0178"/>
    <w:rsid w:val="00FE0209"/>
    <w:rsid w:val="00FE04A2"/>
    <w:rsid w:val="00FE04C4"/>
    <w:rsid w:val="00FE0524"/>
    <w:rsid w:val="00FE05E1"/>
    <w:rsid w:val="00FE0728"/>
    <w:rsid w:val="00FE085C"/>
    <w:rsid w:val="00FE0986"/>
    <w:rsid w:val="00FE0B3C"/>
    <w:rsid w:val="00FE0D0F"/>
    <w:rsid w:val="00FE0E05"/>
    <w:rsid w:val="00FE0EDA"/>
    <w:rsid w:val="00FE0F8E"/>
    <w:rsid w:val="00FE0FD5"/>
    <w:rsid w:val="00FE109D"/>
    <w:rsid w:val="00FE11B4"/>
    <w:rsid w:val="00FE11B7"/>
    <w:rsid w:val="00FE1241"/>
    <w:rsid w:val="00FE1346"/>
    <w:rsid w:val="00FE1347"/>
    <w:rsid w:val="00FE14C4"/>
    <w:rsid w:val="00FE1538"/>
    <w:rsid w:val="00FE157B"/>
    <w:rsid w:val="00FE1694"/>
    <w:rsid w:val="00FE1873"/>
    <w:rsid w:val="00FE1AFF"/>
    <w:rsid w:val="00FE1B16"/>
    <w:rsid w:val="00FE1D5E"/>
    <w:rsid w:val="00FE1DF9"/>
    <w:rsid w:val="00FE1E3E"/>
    <w:rsid w:val="00FE2157"/>
    <w:rsid w:val="00FE221F"/>
    <w:rsid w:val="00FE2322"/>
    <w:rsid w:val="00FE2831"/>
    <w:rsid w:val="00FE28B2"/>
    <w:rsid w:val="00FE2B5E"/>
    <w:rsid w:val="00FE2D04"/>
    <w:rsid w:val="00FE2EF6"/>
    <w:rsid w:val="00FE304C"/>
    <w:rsid w:val="00FE31C6"/>
    <w:rsid w:val="00FE33BB"/>
    <w:rsid w:val="00FE3632"/>
    <w:rsid w:val="00FE3755"/>
    <w:rsid w:val="00FE3759"/>
    <w:rsid w:val="00FE37B7"/>
    <w:rsid w:val="00FE39C5"/>
    <w:rsid w:val="00FE3A5A"/>
    <w:rsid w:val="00FE3A66"/>
    <w:rsid w:val="00FE3BCD"/>
    <w:rsid w:val="00FE3DA6"/>
    <w:rsid w:val="00FE3DE3"/>
    <w:rsid w:val="00FE400C"/>
    <w:rsid w:val="00FE4042"/>
    <w:rsid w:val="00FE4059"/>
    <w:rsid w:val="00FE41C3"/>
    <w:rsid w:val="00FE4232"/>
    <w:rsid w:val="00FE4391"/>
    <w:rsid w:val="00FE4403"/>
    <w:rsid w:val="00FE4723"/>
    <w:rsid w:val="00FE482B"/>
    <w:rsid w:val="00FE490C"/>
    <w:rsid w:val="00FE49FA"/>
    <w:rsid w:val="00FE4C87"/>
    <w:rsid w:val="00FE4DFE"/>
    <w:rsid w:val="00FE4FE0"/>
    <w:rsid w:val="00FE5035"/>
    <w:rsid w:val="00FE50A0"/>
    <w:rsid w:val="00FE519E"/>
    <w:rsid w:val="00FE5348"/>
    <w:rsid w:val="00FE53E8"/>
    <w:rsid w:val="00FE564C"/>
    <w:rsid w:val="00FE5951"/>
    <w:rsid w:val="00FE59EE"/>
    <w:rsid w:val="00FE5AC0"/>
    <w:rsid w:val="00FE5D15"/>
    <w:rsid w:val="00FE617E"/>
    <w:rsid w:val="00FE62C6"/>
    <w:rsid w:val="00FE632A"/>
    <w:rsid w:val="00FE6633"/>
    <w:rsid w:val="00FE6777"/>
    <w:rsid w:val="00FE67AC"/>
    <w:rsid w:val="00FE6B10"/>
    <w:rsid w:val="00FE6D5E"/>
    <w:rsid w:val="00FE6D85"/>
    <w:rsid w:val="00FE6FF9"/>
    <w:rsid w:val="00FE716B"/>
    <w:rsid w:val="00FE7273"/>
    <w:rsid w:val="00FE741C"/>
    <w:rsid w:val="00FE743D"/>
    <w:rsid w:val="00FE7564"/>
    <w:rsid w:val="00FE77A1"/>
    <w:rsid w:val="00FE77B7"/>
    <w:rsid w:val="00FE781E"/>
    <w:rsid w:val="00FE7BCA"/>
    <w:rsid w:val="00FE7DDD"/>
    <w:rsid w:val="00FE7EA6"/>
    <w:rsid w:val="00FE7EB6"/>
    <w:rsid w:val="00FE7F11"/>
    <w:rsid w:val="00FE7F21"/>
    <w:rsid w:val="00FF0023"/>
    <w:rsid w:val="00FF0080"/>
    <w:rsid w:val="00FF017D"/>
    <w:rsid w:val="00FF0614"/>
    <w:rsid w:val="00FF06CC"/>
    <w:rsid w:val="00FF0816"/>
    <w:rsid w:val="00FF0899"/>
    <w:rsid w:val="00FF0AC4"/>
    <w:rsid w:val="00FF0AFA"/>
    <w:rsid w:val="00FF0BB5"/>
    <w:rsid w:val="00FF0BBA"/>
    <w:rsid w:val="00FF0BC6"/>
    <w:rsid w:val="00FF0CDE"/>
    <w:rsid w:val="00FF0F19"/>
    <w:rsid w:val="00FF1238"/>
    <w:rsid w:val="00FF151D"/>
    <w:rsid w:val="00FF1533"/>
    <w:rsid w:val="00FF154F"/>
    <w:rsid w:val="00FF15F3"/>
    <w:rsid w:val="00FF16A1"/>
    <w:rsid w:val="00FF16D6"/>
    <w:rsid w:val="00FF1965"/>
    <w:rsid w:val="00FF19B5"/>
    <w:rsid w:val="00FF1CB4"/>
    <w:rsid w:val="00FF1CD2"/>
    <w:rsid w:val="00FF1DFC"/>
    <w:rsid w:val="00FF1E3E"/>
    <w:rsid w:val="00FF1E4A"/>
    <w:rsid w:val="00FF1EFF"/>
    <w:rsid w:val="00FF1F34"/>
    <w:rsid w:val="00FF1F78"/>
    <w:rsid w:val="00FF2072"/>
    <w:rsid w:val="00FF20C7"/>
    <w:rsid w:val="00FF22EA"/>
    <w:rsid w:val="00FF24FB"/>
    <w:rsid w:val="00FF2584"/>
    <w:rsid w:val="00FF2698"/>
    <w:rsid w:val="00FF279D"/>
    <w:rsid w:val="00FF27FA"/>
    <w:rsid w:val="00FF283B"/>
    <w:rsid w:val="00FF299F"/>
    <w:rsid w:val="00FF2A97"/>
    <w:rsid w:val="00FF2AF4"/>
    <w:rsid w:val="00FF2B06"/>
    <w:rsid w:val="00FF2B3A"/>
    <w:rsid w:val="00FF2CB3"/>
    <w:rsid w:val="00FF2DDF"/>
    <w:rsid w:val="00FF2DF1"/>
    <w:rsid w:val="00FF301A"/>
    <w:rsid w:val="00FF3203"/>
    <w:rsid w:val="00FF32A2"/>
    <w:rsid w:val="00FF369C"/>
    <w:rsid w:val="00FF3846"/>
    <w:rsid w:val="00FF39C2"/>
    <w:rsid w:val="00FF39F0"/>
    <w:rsid w:val="00FF3C9D"/>
    <w:rsid w:val="00FF3D53"/>
    <w:rsid w:val="00FF3E78"/>
    <w:rsid w:val="00FF3F79"/>
    <w:rsid w:val="00FF4086"/>
    <w:rsid w:val="00FF4259"/>
    <w:rsid w:val="00FF42D7"/>
    <w:rsid w:val="00FF43E0"/>
    <w:rsid w:val="00FF440F"/>
    <w:rsid w:val="00FF4445"/>
    <w:rsid w:val="00FF474C"/>
    <w:rsid w:val="00FF4842"/>
    <w:rsid w:val="00FF4862"/>
    <w:rsid w:val="00FF4995"/>
    <w:rsid w:val="00FF49D9"/>
    <w:rsid w:val="00FF4A43"/>
    <w:rsid w:val="00FF4A88"/>
    <w:rsid w:val="00FF4AAD"/>
    <w:rsid w:val="00FF4B68"/>
    <w:rsid w:val="00FF4C46"/>
    <w:rsid w:val="00FF4CB0"/>
    <w:rsid w:val="00FF4CE3"/>
    <w:rsid w:val="00FF4DEC"/>
    <w:rsid w:val="00FF534F"/>
    <w:rsid w:val="00FF53FC"/>
    <w:rsid w:val="00FF54F9"/>
    <w:rsid w:val="00FF56B7"/>
    <w:rsid w:val="00FF574A"/>
    <w:rsid w:val="00FF58B1"/>
    <w:rsid w:val="00FF5A25"/>
    <w:rsid w:val="00FF5C12"/>
    <w:rsid w:val="00FF5D28"/>
    <w:rsid w:val="00FF5F94"/>
    <w:rsid w:val="00FF60E8"/>
    <w:rsid w:val="00FF610B"/>
    <w:rsid w:val="00FF61A1"/>
    <w:rsid w:val="00FF61B4"/>
    <w:rsid w:val="00FF6281"/>
    <w:rsid w:val="00FF62B3"/>
    <w:rsid w:val="00FF66CF"/>
    <w:rsid w:val="00FF6754"/>
    <w:rsid w:val="00FF67EE"/>
    <w:rsid w:val="00FF696D"/>
    <w:rsid w:val="00FF6A6F"/>
    <w:rsid w:val="00FF6A78"/>
    <w:rsid w:val="00FF6A9C"/>
    <w:rsid w:val="00FF6BD5"/>
    <w:rsid w:val="00FF6DA5"/>
    <w:rsid w:val="00FF6EE5"/>
    <w:rsid w:val="00FF6FAA"/>
    <w:rsid w:val="00FF7032"/>
    <w:rsid w:val="00FF7099"/>
    <w:rsid w:val="00FF76A1"/>
    <w:rsid w:val="00FF77F2"/>
    <w:rsid w:val="00FF783C"/>
    <w:rsid w:val="00FF7A29"/>
    <w:rsid w:val="00FF7C5E"/>
    <w:rsid w:val="00FF7DF8"/>
    <w:rsid w:val="00FF7EE9"/>
    <w:rsid w:val="011A0FD2"/>
    <w:rsid w:val="043C56C7"/>
    <w:rsid w:val="05F508B6"/>
    <w:rsid w:val="084B6B3E"/>
    <w:rsid w:val="141E2341"/>
    <w:rsid w:val="178011C9"/>
    <w:rsid w:val="17B0440A"/>
    <w:rsid w:val="1C452644"/>
    <w:rsid w:val="1C460B32"/>
    <w:rsid w:val="20297AB2"/>
    <w:rsid w:val="219E316A"/>
    <w:rsid w:val="22A9539A"/>
    <w:rsid w:val="26583912"/>
    <w:rsid w:val="27C417E7"/>
    <w:rsid w:val="2B711467"/>
    <w:rsid w:val="2C15540D"/>
    <w:rsid w:val="2F841294"/>
    <w:rsid w:val="303575B6"/>
    <w:rsid w:val="30744ECD"/>
    <w:rsid w:val="32412A12"/>
    <w:rsid w:val="37585548"/>
    <w:rsid w:val="384A7212"/>
    <w:rsid w:val="3CFF29B8"/>
    <w:rsid w:val="417E53C2"/>
    <w:rsid w:val="41F472F9"/>
    <w:rsid w:val="44C82DAE"/>
    <w:rsid w:val="44E93CC0"/>
    <w:rsid w:val="45D21FD1"/>
    <w:rsid w:val="45FB4278"/>
    <w:rsid w:val="477B504E"/>
    <w:rsid w:val="47AA594C"/>
    <w:rsid w:val="49F619C9"/>
    <w:rsid w:val="55651104"/>
    <w:rsid w:val="579B6754"/>
    <w:rsid w:val="58EE0C1B"/>
    <w:rsid w:val="5938262D"/>
    <w:rsid w:val="5B2613E5"/>
    <w:rsid w:val="61A23564"/>
    <w:rsid w:val="6535321F"/>
    <w:rsid w:val="6B4F21E3"/>
    <w:rsid w:val="6FF942EE"/>
    <w:rsid w:val="70D723A5"/>
    <w:rsid w:val="71953F27"/>
    <w:rsid w:val="72B106FA"/>
    <w:rsid w:val="75A06685"/>
    <w:rsid w:val="76731787"/>
    <w:rsid w:val="778F2BE0"/>
    <w:rsid w:val="79694670"/>
    <w:rsid w:val="796C6C45"/>
    <w:rsid w:val="7A366A59"/>
    <w:rsid w:val="7B354F51"/>
    <w:rsid w:val="7F62377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iPriority="0" w:semiHidden="0" w:name="caption" w:locked="1"/>
    <w:lsdException w:qFormat="1" w:unhideWhenUsed="0" w:uiPriority="99"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qFormat="1" w:unhideWhenUsed="0" w:uiPriority="0" w:semiHidden="0" w:name="List 5"/>
    <w:lsdException w:qFormat="1" w:unhideWhenUsed="0" w:uiPriority="0" w:semiHidden="0" w:name="List Bullet 2"/>
    <w:lsdException w:uiPriority="99" w:name="List Bullet 3"/>
    <w:lsdException w:qFormat="1" w:unhideWhenUsed="0" w:uiPriority="0" w:semiHidden="0" w:name="List Bullet 4"/>
    <w:lsdException w:qFormat="1" w:uiPriority="0" w:semiHidden="0" w:name="List Bullet 5"/>
    <w:lsdException w:qFormat="1" w:unhideWhenUsed="0" w:uiPriority="0" w:semiHidden="0" w:name="List Number 2"/>
    <w:lsdException w:uiPriority="99" w:name="List Number 3"/>
    <w:lsdException w:uiPriority="99" w:name="List Number 4"/>
    <w:lsdException w:qFormat="1" w:unhideWhenUsed="0" w:uiPriority="0" w:semiHidden="0" w:name="List Number 5"/>
    <w:lsdException w:qFormat="1" w:unhideWhenUsed="0" w:uiPriority="0" w:semiHidden="0" w:name="Title" w:locked="1"/>
    <w:lsdException w:qFormat="1" w:unhideWhenUsed="0" w:uiPriority="0" w:semiHidden="0"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qFormat="1"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qFormat="1" w:uiPriority="99"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ocked="1"/>
    <w:lsdException w:qFormat="1" w:uiPriority="99" w:semiHidden="0" w:name="FollowedHyperlink"/>
    <w:lsdException w:qFormat="1" w:unhideWhenUsed="0" w:uiPriority="0" w:semiHidden="0" w:name="Strong" w:locked="1"/>
    <w:lsdException w:qFormat="1" w:unhideWhenUsed="0" w:uiPriority="20" w:semiHidden="0" w:name="Emphasis" w:locked="1"/>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iPriority="0" w:semiHidden="0" w:name="Table Professional"/>
    <w:lsdException w:qFormat="1" w:unhideWhenUsed="0" w:uiPriority="0" w:semiHidden="0"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iPriority="99" w:semiHidden="0"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kern w:val="2"/>
      <w:sz w:val="24"/>
      <w:szCs w:val="24"/>
      <w:lang w:val="en-US" w:eastAsia="zh-CN" w:bidi="ar-SA"/>
    </w:rPr>
  </w:style>
  <w:style w:type="paragraph" w:styleId="3">
    <w:name w:val="heading 1"/>
    <w:basedOn w:val="1"/>
    <w:next w:val="1"/>
    <w:link w:val="104"/>
    <w:qFormat/>
    <w:uiPriority w:val="0"/>
    <w:pPr>
      <w:keepNext/>
      <w:keepLines/>
      <w:numPr>
        <w:ilvl w:val="0"/>
        <w:numId w:val="1"/>
      </w:numPr>
      <w:spacing w:line="20" w:lineRule="exact"/>
      <w:outlineLvl w:val="0"/>
    </w:pPr>
    <w:rPr>
      <w:rFonts w:ascii="Arial" w:hAnsi="Arial"/>
      <w:b/>
      <w:color w:val="FFFFFF" w:themeColor="background1"/>
      <w:kern w:val="44"/>
      <w:szCs w:val="21"/>
      <w14:textFill>
        <w14:solidFill>
          <w14:schemeClr w14:val="bg1"/>
        </w14:solidFill>
      </w14:textFill>
    </w:rPr>
  </w:style>
  <w:style w:type="paragraph" w:styleId="4">
    <w:name w:val="heading 2"/>
    <w:basedOn w:val="1"/>
    <w:next w:val="1"/>
    <w:link w:val="99"/>
    <w:qFormat/>
    <w:uiPriority w:val="0"/>
    <w:pPr>
      <w:keepNext/>
      <w:keepLines/>
      <w:numPr>
        <w:ilvl w:val="1"/>
        <w:numId w:val="1"/>
      </w:numPr>
      <w:spacing w:before="360" w:after="120"/>
      <w:outlineLvl w:val="1"/>
    </w:pPr>
    <w:rPr>
      <w:rFonts w:ascii="Arial" w:hAnsi="Arial"/>
      <w:b/>
      <w:bCs/>
      <w:sz w:val="30"/>
      <w:szCs w:val="32"/>
    </w:rPr>
  </w:style>
  <w:style w:type="paragraph" w:styleId="5">
    <w:name w:val="heading 3"/>
    <w:basedOn w:val="1"/>
    <w:next w:val="1"/>
    <w:link w:val="105"/>
    <w:qFormat/>
    <w:uiPriority w:val="0"/>
    <w:pPr>
      <w:keepNext/>
      <w:keepLines/>
      <w:numPr>
        <w:ilvl w:val="2"/>
        <w:numId w:val="1"/>
      </w:numPr>
      <w:spacing w:before="240" w:after="120"/>
      <w:outlineLvl w:val="2"/>
    </w:pPr>
    <w:rPr>
      <w:rFonts w:ascii="Arial" w:hAnsi="Arial"/>
      <w:b/>
      <w:bCs/>
      <w:sz w:val="28"/>
      <w:szCs w:val="32"/>
    </w:rPr>
  </w:style>
  <w:style w:type="paragraph" w:styleId="6">
    <w:name w:val="heading 4"/>
    <w:basedOn w:val="1"/>
    <w:next w:val="1"/>
    <w:link w:val="106"/>
    <w:qFormat/>
    <w:uiPriority w:val="0"/>
    <w:pPr>
      <w:keepNext/>
      <w:keepLines/>
      <w:numPr>
        <w:ilvl w:val="3"/>
        <w:numId w:val="1"/>
      </w:numPr>
      <w:spacing w:before="120" w:after="120"/>
      <w:outlineLvl w:val="3"/>
    </w:pPr>
    <w:rPr>
      <w:rFonts w:ascii="Arial" w:hAnsi="Arial" w:cs="Arial"/>
      <w:b/>
      <w:bCs/>
      <w:color w:val="000000"/>
    </w:rPr>
  </w:style>
  <w:style w:type="paragraph" w:styleId="7">
    <w:name w:val="heading 5"/>
    <w:basedOn w:val="1"/>
    <w:next w:val="1"/>
    <w:link w:val="107"/>
    <w:qFormat/>
    <w:uiPriority w:val="0"/>
    <w:pPr>
      <w:keepNext/>
      <w:keepLines/>
      <w:numPr>
        <w:ilvl w:val="4"/>
        <w:numId w:val="1"/>
      </w:numPr>
      <w:spacing w:before="120" w:after="120"/>
      <w:outlineLvl w:val="4"/>
    </w:pPr>
    <w:rPr>
      <w:rFonts w:ascii="Arial" w:hAnsi="Arial"/>
      <w:b/>
      <w:bCs/>
      <w:szCs w:val="28"/>
    </w:rPr>
  </w:style>
  <w:style w:type="paragraph" w:styleId="8">
    <w:name w:val="heading 6"/>
    <w:basedOn w:val="1"/>
    <w:next w:val="1"/>
    <w:link w:val="108"/>
    <w:qFormat/>
    <w:uiPriority w:val="0"/>
    <w:pPr>
      <w:keepNext/>
      <w:keepLines/>
      <w:numPr>
        <w:ilvl w:val="5"/>
        <w:numId w:val="1"/>
      </w:numPr>
      <w:spacing w:before="120" w:after="120"/>
      <w:outlineLvl w:val="5"/>
    </w:pPr>
    <w:rPr>
      <w:rFonts w:ascii="Arial" w:hAnsi="Arial"/>
      <w:b/>
      <w:bCs/>
    </w:rPr>
  </w:style>
  <w:style w:type="paragraph" w:styleId="9">
    <w:name w:val="heading 7"/>
    <w:basedOn w:val="1"/>
    <w:next w:val="1"/>
    <w:link w:val="109"/>
    <w:qFormat/>
    <w:uiPriority w:val="9"/>
    <w:pPr>
      <w:keepNext/>
      <w:keepLines/>
      <w:numPr>
        <w:ilvl w:val="6"/>
        <w:numId w:val="1"/>
      </w:numPr>
      <w:spacing w:before="360" w:after="120"/>
      <w:outlineLvl w:val="6"/>
    </w:pPr>
    <w:rPr>
      <w:rFonts w:ascii="Arial" w:hAnsi="Arial" w:cs="Arial"/>
      <w:b/>
      <w:bCs/>
      <w:sz w:val="32"/>
      <w:szCs w:val="32"/>
    </w:rPr>
  </w:style>
  <w:style w:type="paragraph" w:styleId="10">
    <w:name w:val="heading 8"/>
    <w:basedOn w:val="11"/>
    <w:next w:val="1"/>
    <w:link w:val="111"/>
    <w:qFormat/>
    <w:uiPriority w:val="9"/>
    <w:pPr>
      <w:numPr>
        <w:ilvl w:val="7"/>
      </w:numPr>
      <w:spacing w:before="0" w:after="120"/>
      <w:outlineLvl w:val="7"/>
    </w:pPr>
  </w:style>
  <w:style w:type="paragraph" w:styleId="11">
    <w:name w:val="heading 9"/>
    <w:basedOn w:val="1"/>
    <w:next w:val="1"/>
    <w:link w:val="110"/>
    <w:qFormat/>
    <w:uiPriority w:val="9"/>
    <w:pPr>
      <w:keepNext/>
      <w:keepLines/>
      <w:numPr>
        <w:ilvl w:val="8"/>
        <w:numId w:val="1"/>
      </w:numPr>
      <w:spacing w:before="120"/>
      <w:jc w:val="center"/>
      <w:outlineLvl w:val="8"/>
    </w:pPr>
    <w:rPr>
      <w:rFonts w:hAnsi="宋体"/>
      <w:b/>
      <w:szCs w:val="21"/>
    </w:rPr>
  </w:style>
  <w:style w:type="character" w:default="1" w:styleId="81">
    <w:name w:val="Default Paragraph Font"/>
    <w:semiHidden/>
    <w:unhideWhenUsed/>
    <w:uiPriority w:val="1"/>
  </w:style>
  <w:style w:type="table" w:default="1" w:styleId="75">
    <w:name w:val="Normal Table"/>
    <w:semiHidden/>
    <w:unhideWhenUsed/>
    <w:uiPriority w:val="99"/>
    <w:tblPr>
      <w:tblCellMar>
        <w:top w:w="0" w:type="dxa"/>
        <w:left w:w="108" w:type="dxa"/>
        <w:bottom w:w="0" w:type="dxa"/>
        <w:right w:w="108" w:type="dxa"/>
      </w:tblCellMar>
    </w:tblPr>
  </w:style>
  <w:style w:type="paragraph" w:styleId="2">
    <w:name w:val="macro"/>
    <w:link w:val="112"/>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qFormat/>
    <w:uiPriority w:val="0"/>
    <w:pPr>
      <w:spacing w:after="156" w:afterLines="50" w:line="480" w:lineRule="exact"/>
      <w:ind w:left="100" w:leftChars="400" w:hanging="200" w:hangingChars="200"/>
    </w:pPr>
    <w:rPr>
      <w:rFonts w:eastAsia="仿宋_GB2312"/>
    </w:rPr>
  </w:style>
  <w:style w:type="paragraph" w:styleId="13">
    <w:name w:val="toc 7"/>
    <w:basedOn w:val="1"/>
    <w:next w:val="1"/>
    <w:qFormat/>
    <w:uiPriority w:val="39"/>
    <w:pPr>
      <w:ind w:left="1260"/>
      <w:jc w:val="left"/>
    </w:pPr>
    <w:rPr>
      <w:rFonts w:ascii="Arial" w:hAnsi="Arial"/>
      <w:b/>
      <w:szCs w:val="18"/>
    </w:rPr>
  </w:style>
  <w:style w:type="paragraph" w:styleId="14">
    <w:name w:val="List Number 2"/>
    <w:basedOn w:val="1"/>
    <w:qFormat/>
    <w:uiPriority w:val="0"/>
    <w:pPr>
      <w:numPr>
        <w:ilvl w:val="0"/>
        <w:numId w:val="2"/>
      </w:numPr>
      <w:tabs>
        <w:tab w:val="left" w:pos="567"/>
      </w:tabs>
      <w:adjustRightInd w:val="0"/>
      <w:spacing w:line="300" w:lineRule="auto"/>
      <w:textAlignment w:val="baseline"/>
    </w:pPr>
    <w:rPr>
      <w:rFonts w:eastAsia="楷体_GB2312"/>
      <w:kern w:val="0"/>
      <w:sz w:val="28"/>
      <w:szCs w:val="20"/>
    </w:rPr>
  </w:style>
  <w:style w:type="paragraph" w:styleId="15">
    <w:name w:val="table of authorities"/>
    <w:basedOn w:val="1"/>
    <w:next w:val="1"/>
    <w:semiHidden/>
    <w:qFormat/>
    <w:uiPriority w:val="0"/>
    <w:pPr>
      <w:ind w:left="420" w:leftChars="200"/>
    </w:pPr>
  </w:style>
  <w:style w:type="paragraph" w:styleId="16">
    <w:name w:val="Note Heading"/>
    <w:basedOn w:val="1"/>
    <w:next w:val="1"/>
    <w:link w:val="745"/>
    <w:unhideWhenUsed/>
    <w:qFormat/>
    <w:uiPriority w:val="99"/>
    <w:pPr>
      <w:spacing w:line="360" w:lineRule="auto"/>
      <w:ind w:firstLine="200" w:firstLineChars="200"/>
      <w:jc w:val="center"/>
    </w:pPr>
    <w:rPr>
      <w:rFonts w:ascii="Calibri" w:hAnsi="Calibri"/>
      <w:szCs w:val="21"/>
    </w:rPr>
  </w:style>
  <w:style w:type="paragraph" w:styleId="17">
    <w:name w:val="List Bullet 4"/>
    <w:basedOn w:val="1"/>
    <w:qFormat/>
    <w:uiPriority w:val="0"/>
  </w:style>
  <w:style w:type="paragraph" w:styleId="18">
    <w:name w:val="index 8"/>
    <w:basedOn w:val="1"/>
    <w:next w:val="1"/>
    <w:semiHidden/>
    <w:qFormat/>
    <w:uiPriority w:val="0"/>
    <w:pPr>
      <w:ind w:left="1400" w:leftChars="1400"/>
    </w:pPr>
  </w:style>
  <w:style w:type="paragraph" w:styleId="19">
    <w:name w:val="List Number"/>
    <w:basedOn w:val="1"/>
    <w:qFormat/>
    <w:uiPriority w:val="0"/>
    <w:pPr>
      <w:numPr>
        <w:ilvl w:val="0"/>
        <w:numId w:val="3"/>
      </w:numPr>
      <w:tabs>
        <w:tab w:val="left" w:pos="360"/>
      </w:tabs>
      <w:autoSpaceDE w:val="0"/>
      <w:autoSpaceDN w:val="0"/>
      <w:jc w:val="left"/>
    </w:pPr>
    <w:rPr>
      <w:kern w:val="0"/>
      <w:szCs w:val="20"/>
    </w:rPr>
  </w:style>
  <w:style w:type="paragraph" w:styleId="20">
    <w:name w:val="Normal Indent"/>
    <w:basedOn w:val="1"/>
    <w:link w:val="113"/>
    <w:qFormat/>
    <w:uiPriority w:val="0"/>
    <w:pPr>
      <w:widowControl/>
      <w:spacing w:afterLines="140" w:line="288" w:lineRule="auto"/>
      <w:ind w:firstLine="420"/>
      <w:jc w:val="left"/>
    </w:pPr>
    <w:rPr>
      <w:szCs w:val="20"/>
    </w:rPr>
  </w:style>
  <w:style w:type="paragraph" w:styleId="21">
    <w:name w:val="caption"/>
    <w:basedOn w:val="1"/>
    <w:next w:val="1"/>
    <w:link w:val="114"/>
    <w:unhideWhenUsed/>
    <w:qFormat/>
    <w:locked/>
    <w:uiPriority w:val="0"/>
    <w:pPr>
      <w:jc w:val="center"/>
    </w:pPr>
    <w:rPr>
      <w:rFonts w:ascii="Cambria" w:hAnsi="Cambria" w:eastAsia="黑体"/>
      <w:sz w:val="20"/>
      <w:szCs w:val="20"/>
    </w:rPr>
  </w:style>
  <w:style w:type="paragraph" w:styleId="22">
    <w:name w:val="index 5"/>
    <w:basedOn w:val="1"/>
    <w:next w:val="1"/>
    <w:semiHidden/>
    <w:qFormat/>
    <w:uiPriority w:val="0"/>
    <w:pPr>
      <w:ind w:left="800" w:leftChars="800"/>
    </w:pPr>
  </w:style>
  <w:style w:type="paragraph" w:styleId="23">
    <w:name w:val="List Bullet"/>
    <w:basedOn w:val="1"/>
    <w:link w:val="1137"/>
    <w:qFormat/>
    <w:uiPriority w:val="0"/>
    <w:pPr>
      <w:spacing w:before="120" w:beforeLines="50" w:after="120" w:afterLines="50" w:line="360" w:lineRule="auto"/>
      <w:ind w:left="144" w:hanging="144" w:firstLineChars="200"/>
    </w:pPr>
    <w:rPr>
      <w:bCs/>
      <w:szCs w:val="20"/>
    </w:rPr>
  </w:style>
  <w:style w:type="paragraph" w:styleId="24">
    <w:name w:val="Document Map"/>
    <w:basedOn w:val="1"/>
    <w:link w:val="115"/>
    <w:qFormat/>
    <w:uiPriority w:val="0"/>
    <w:pPr>
      <w:shd w:val="clear" w:color="auto" w:fill="000080"/>
    </w:pPr>
  </w:style>
  <w:style w:type="paragraph" w:styleId="25">
    <w:name w:val="toa heading"/>
    <w:basedOn w:val="1"/>
    <w:next w:val="1"/>
    <w:semiHidden/>
    <w:qFormat/>
    <w:uiPriority w:val="0"/>
    <w:pPr>
      <w:spacing w:before="120"/>
    </w:pPr>
    <w:rPr>
      <w:rFonts w:ascii="Arial" w:hAnsi="Arial" w:cs="Arial"/>
    </w:rPr>
  </w:style>
  <w:style w:type="paragraph" w:styleId="26">
    <w:name w:val="annotation text"/>
    <w:basedOn w:val="1"/>
    <w:link w:val="116"/>
    <w:qFormat/>
    <w:uiPriority w:val="0"/>
    <w:pPr>
      <w:jc w:val="left"/>
    </w:pPr>
  </w:style>
  <w:style w:type="paragraph" w:styleId="27">
    <w:name w:val="index 6"/>
    <w:basedOn w:val="1"/>
    <w:next w:val="1"/>
    <w:semiHidden/>
    <w:qFormat/>
    <w:uiPriority w:val="0"/>
    <w:pPr>
      <w:ind w:left="1000" w:leftChars="1000"/>
    </w:pPr>
  </w:style>
  <w:style w:type="paragraph" w:styleId="28">
    <w:name w:val="Salutation"/>
    <w:basedOn w:val="1"/>
    <w:next w:val="1"/>
    <w:link w:val="480"/>
    <w:qFormat/>
    <w:uiPriority w:val="0"/>
  </w:style>
  <w:style w:type="paragraph" w:styleId="29">
    <w:name w:val="Body Text 3"/>
    <w:basedOn w:val="1"/>
    <w:link w:val="758"/>
    <w:qFormat/>
    <w:uiPriority w:val="0"/>
    <w:pPr>
      <w:spacing w:before="120" w:beforeLines="50" w:after="120" w:afterLines="30" w:line="360" w:lineRule="auto"/>
      <w:ind w:firstLine="480" w:firstLineChars="200"/>
    </w:pPr>
    <w:rPr>
      <w:bCs/>
      <w:sz w:val="16"/>
      <w:szCs w:val="16"/>
    </w:rPr>
  </w:style>
  <w:style w:type="paragraph" w:styleId="30">
    <w:name w:val="Closing"/>
    <w:basedOn w:val="1"/>
    <w:link w:val="1138"/>
    <w:qFormat/>
    <w:uiPriority w:val="0"/>
    <w:pPr>
      <w:ind w:left="100" w:leftChars="2100"/>
    </w:pPr>
    <w:rPr>
      <w:sz w:val="28"/>
      <w:lang w:val="zh-CN"/>
    </w:rPr>
  </w:style>
  <w:style w:type="paragraph" w:styleId="31">
    <w:name w:val="Body Text"/>
    <w:basedOn w:val="1"/>
    <w:link w:val="117"/>
    <w:qFormat/>
    <w:uiPriority w:val="0"/>
    <w:pPr>
      <w:spacing w:after="120"/>
    </w:pPr>
  </w:style>
  <w:style w:type="paragraph" w:styleId="32">
    <w:name w:val="Body Text Indent"/>
    <w:basedOn w:val="1"/>
    <w:link w:val="118"/>
    <w:qFormat/>
    <w:uiPriority w:val="0"/>
    <w:pPr>
      <w:spacing w:after="120"/>
      <w:ind w:left="420" w:leftChars="200"/>
    </w:pPr>
  </w:style>
  <w:style w:type="paragraph" w:styleId="33">
    <w:name w:val="List 2"/>
    <w:basedOn w:val="1"/>
    <w:qFormat/>
    <w:uiPriority w:val="0"/>
    <w:pPr>
      <w:spacing w:after="156" w:afterLines="50" w:line="480" w:lineRule="exact"/>
      <w:ind w:left="100" w:leftChars="200" w:hanging="200" w:hangingChars="200"/>
    </w:pPr>
    <w:rPr>
      <w:rFonts w:eastAsia="仿宋_GB2312"/>
    </w:rPr>
  </w:style>
  <w:style w:type="paragraph" w:styleId="34">
    <w:name w:val="Block Text"/>
    <w:basedOn w:val="1"/>
    <w:qFormat/>
    <w:uiPriority w:val="0"/>
    <w:pPr>
      <w:spacing w:after="120"/>
      <w:ind w:left="1440" w:leftChars="700" w:right="1440" w:rightChars="700"/>
    </w:pPr>
  </w:style>
  <w:style w:type="paragraph" w:styleId="35">
    <w:name w:val="List Bullet 2"/>
    <w:basedOn w:val="1"/>
    <w:qFormat/>
    <w:uiPriority w:val="0"/>
    <w:pPr>
      <w:numPr>
        <w:ilvl w:val="0"/>
        <w:numId w:val="4"/>
      </w:numPr>
      <w:tabs>
        <w:tab w:val="left" w:pos="780"/>
        <w:tab w:val="left" w:pos="980"/>
        <w:tab w:val="left" w:pos="1080"/>
        <w:tab w:val="clear" w:pos="900"/>
      </w:tabs>
      <w:spacing w:before="120" w:beforeLines="50" w:after="120" w:afterLines="50" w:line="360" w:lineRule="auto"/>
      <w:ind w:left="2121" w:leftChars="200" w:hanging="321" w:firstLineChars="200"/>
    </w:pPr>
    <w:rPr>
      <w:bCs/>
      <w:szCs w:val="20"/>
    </w:rPr>
  </w:style>
  <w:style w:type="paragraph" w:styleId="36">
    <w:name w:val="HTML Address"/>
    <w:basedOn w:val="1"/>
    <w:link w:val="491"/>
    <w:qFormat/>
    <w:uiPriority w:val="0"/>
    <w:pPr>
      <w:snapToGrid w:val="0"/>
      <w:spacing w:line="288" w:lineRule="auto"/>
    </w:pPr>
    <w:rPr>
      <w:rFonts w:ascii="Courier New" w:hAnsi="Courier New"/>
      <w:i/>
      <w:iCs/>
      <w:szCs w:val="21"/>
    </w:rPr>
  </w:style>
  <w:style w:type="paragraph" w:styleId="37">
    <w:name w:val="index 4"/>
    <w:basedOn w:val="1"/>
    <w:next w:val="1"/>
    <w:semiHidden/>
    <w:qFormat/>
    <w:uiPriority w:val="0"/>
    <w:pPr>
      <w:ind w:left="600" w:leftChars="600"/>
    </w:pPr>
  </w:style>
  <w:style w:type="paragraph" w:styleId="38">
    <w:name w:val="toc 5"/>
    <w:basedOn w:val="1"/>
    <w:next w:val="1"/>
    <w:qFormat/>
    <w:uiPriority w:val="39"/>
    <w:pPr>
      <w:ind w:left="840"/>
      <w:jc w:val="left"/>
    </w:pPr>
    <w:rPr>
      <w:sz w:val="18"/>
      <w:szCs w:val="18"/>
    </w:rPr>
  </w:style>
  <w:style w:type="paragraph" w:styleId="39">
    <w:name w:val="toc 3"/>
    <w:basedOn w:val="1"/>
    <w:next w:val="1"/>
    <w:qFormat/>
    <w:uiPriority w:val="39"/>
    <w:pPr>
      <w:ind w:left="420"/>
      <w:jc w:val="left"/>
    </w:pPr>
    <w:rPr>
      <w:rFonts w:ascii="Arial" w:hAnsi="Arial"/>
      <w:iCs/>
      <w:szCs w:val="20"/>
    </w:rPr>
  </w:style>
  <w:style w:type="paragraph" w:styleId="40">
    <w:name w:val="Plain Text"/>
    <w:basedOn w:val="1"/>
    <w:link w:val="560"/>
    <w:qFormat/>
    <w:uiPriority w:val="0"/>
    <w:rPr>
      <w:rFonts w:hAnsi="Courier New"/>
      <w:szCs w:val="20"/>
    </w:rPr>
  </w:style>
  <w:style w:type="paragraph" w:styleId="41">
    <w:name w:val="List Bullet 5"/>
    <w:basedOn w:val="1"/>
    <w:unhideWhenUsed/>
    <w:qFormat/>
    <w:uiPriority w:val="0"/>
    <w:pPr>
      <w:numPr>
        <w:ilvl w:val="0"/>
        <w:numId w:val="5"/>
      </w:numPr>
      <w:tabs>
        <w:tab w:val="left" w:pos="2040"/>
        <w:tab w:val="clear" w:pos="425"/>
      </w:tabs>
      <w:ind w:left="2040" w:hanging="360" w:firstLineChars="200"/>
    </w:pPr>
    <w:rPr>
      <w:sz w:val="28"/>
      <w:szCs w:val="20"/>
    </w:rPr>
  </w:style>
  <w:style w:type="paragraph" w:styleId="42">
    <w:name w:val="toc 8"/>
    <w:basedOn w:val="1"/>
    <w:next w:val="1"/>
    <w:qFormat/>
    <w:uiPriority w:val="39"/>
    <w:pPr>
      <w:ind w:left="1470"/>
      <w:jc w:val="left"/>
    </w:pPr>
    <w:rPr>
      <w:sz w:val="18"/>
      <w:szCs w:val="18"/>
    </w:rPr>
  </w:style>
  <w:style w:type="paragraph" w:styleId="43">
    <w:name w:val="index 3"/>
    <w:basedOn w:val="1"/>
    <w:next w:val="1"/>
    <w:semiHidden/>
    <w:qFormat/>
    <w:uiPriority w:val="0"/>
    <w:pPr>
      <w:ind w:left="400" w:leftChars="400"/>
    </w:pPr>
  </w:style>
  <w:style w:type="paragraph" w:styleId="44">
    <w:name w:val="Date"/>
    <w:basedOn w:val="1"/>
    <w:next w:val="1"/>
    <w:link w:val="540"/>
    <w:qFormat/>
    <w:uiPriority w:val="0"/>
    <w:pPr>
      <w:adjustRightInd w:val="0"/>
      <w:snapToGrid w:val="0"/>
      <w:spacing w:line="252" w:lineRule="atLeast"/>
      <w:textAlignment w:val="baseline"/>
    </w:pPr>
    <w:rPr>
      <w:rFonts w:hAnsi="Courier New"/>
      <w:kern w:val="0"/>
      <w:szCs w:val="20"/>
    </w:rPr>
  </w:style>
  <w:style w:type="paragraph" w:styleId="45">
    <w:name w:val="Body Text Indent 2"/>
    <w:basedOn w:val="1"/>
    <w:link w:val="544"/>
    <w:qFormat/>
    <w:uiPriority w:val="99"/>
    <w:pPr>
      <w:snapToGrid w:val="0"/>
      <w:spacing w:line="288" w:lineRule="auto"/>
      <w:ind w:left="425" w:firstLine="480"/>
    </w:pPr>
    <w:rPr>
      <w:rFonts w:ascii="Courier New" w:hAnsi="Courier New"/>
      <w:kern w:val="24"/>
      <w:szCs w:val="20"/>
    </w:rPr>
  </w:style>
  <w:style w:type="paragraph" w:styleId="46">
    <w:name w:val="endnote text"/>
    <w:basedOn w:val="1"/>
    <w:link w:val="119"/>
    <w:semiHidden/>
    <w:qFormat/>
    <w:uiPriority w:val="0"/>
    <w:pPr>
      <w:snapToGrid w:val="0"/>
      <w:jc w:val="left"/>
    </w:pPr>
  </w:style>
  <w:style w:type="paragraph" w:styleId="47">
    <w:name w:val="Balloon Text"/>
    <w:basedOn w:val="1"/>
    <w:link w:val="120"/>
    <w:qFormat/>
    <w:uiPriority w:val="0"/>
    <w:rPr>
      <w:sz w:val="18"/>
      <w:szCs w:val="18"/>
    </w:rPr>
  </w:style>
  <w:style w:type="paragraph" w:styleId="48">
    <w:name w:val="footer"/>
    <w:basedOn w:val="1"/>
    <w:link w:val="121"/>
    <w:qFormat/>
    <w:uiPriority w:val="99"/>
    <w:pPr>
      <w:tabs>
        <w:tab w:val="center" w:pos="4153"/>
        <w:tab w:val="right" w:pos="8306"/>
      </w:tabs>
      <w:snapToGrid w:val="0"/>
      <w:jc w:val="left"/>
    </w:pPr>
    <w:rPr>
      <w:sz w:val="18"/>
      <w:szCs w:val="18"/>
    </w:rPr>
  </w:style>
  <w:style w:type="paragraph" w:styleId="49">
    <w:name w:val="header"/>
    <w:basedOn w:val="1"/>
    <w:link w:val="122"/>
    <w:qFormat/>
    <w:uiPriority w:val="0"/>
    <w:pPr>
      <w:pBdr>
        <w:bottom w:val="single" w:color="auto" w:sz="6" w:space="1"/>
      </w:pBdr>
      <w:tabs>
        <w:tab w:val="center" w:pos="4153"/>
        <w:tab w:val="right" w:pos="8306"/>
      </w:tabs>
      <w:snapToGrid w:val="0"/>
      <w:jc w:val="center"/>
    </w:pPr>
    <w:rPr>
      <w:sz w:val="18"/>
      <w:szCs w:val="18"/>
    </w:rPr>
  </w:style>
  <w:style w:type="paragraph" w:styleId="50">
    <w:name w:val="toc 1"/>
    <w:basedOn w:val="1"/>
    <w:next w:val="1"/>
    <w:qFormat/>
    <w:uiPriority w:val="39"/>
    <w:pPr>
      <w:tabs>
        <w:tab w:val="right" w:leader="dot" w:pos="9061"/>
      </w:tabs>
      <w:spacing w:before="120" w:after="120"/>
      <w:jc w:val="left"/>
    </w:pPr>
    <w:rPr>
      <w:rFonts w:ascii="Arial" w:hAnsi="Arial"/>
      <w:b/>
      <w:bCs/>
      <w:caps/>
      <w:szCs w:val="20"/>
    </w:rPr>
  </w:style>
  <w:style w:type="paragraph" w:styleId="51">
    <w:name w:val="toc 4"/>
    <w:basedOn w:val="1"/>
    <w:next w:val="1"/>
    <w:link w:val="123"/>
    <w:qFormat/>
    <w:uiPriority w:val="39"/>
    <w:pPr>
      <w:ind w:left="630"/>
      <w:jc w:val="left"/>
    </w:pPr>
    <w:rPr>
      <w:sz w:val="18"/>
      <w:szCs w:val="18"/>
    </w:rPr>
  </w:style>
  <w:style w:type="paragraph" w:styleId="52">
    <w:name w:val="index heading"/>
    <w:basedOn w:val="1"/>
    <w:next w:val="53"/>
    <w:semiHidden/>
    <w:qFormat/>
    <w:uiPriority w:val="0"/>
    <w:rPr>
      <w:rFonts w:ascii="Arial" w:hAnsi="Arial" w:cs="Arial"/>
      <w:b/>
      <w:bCs/>
    </w:rPr>
  </w:style>
  <w:style w:type="paragraph" w:styleId="53">
    <w:name w:val="index 1"/>
    <w:basedOn w:val="1"/>
    <w:next w:val="1"/>
    <w:qFormat/>
    <w:uiPriority w:val="0"/>
  </w:style>
  <w:style w:type="paragraph" w:styleId="54">
    <w:name w:val="Subtitle"/>
    <w:basedOn w:val="1"/>
    <w:next w:val="1"/>
    <w:link w:val="605"/>
    <w:qFormat/>
    <w:locked/>
    <w:uiPriority w:val="0"/>
    <w:pPr>
      <w:spacing w:before="240" w:after="60" w:line="312" w:lineRule="auto"/>
      <w:jc w:val="center"/>
      <w:outlineLvl w:val="1"/>
    </w:pPr>
    <w:rPr>
      <w:rFonts w:ascii="Cambria" w:hAnsi="Cambria"/>
      <w:b/>
      <w:bCs/>
      <w:kern w:val="28"/>
      <w:sz w:val="32"/>
      <w:szCs w:val="32"/>
    </w:rPr>
  </w:style>
  <w:style w:type="paragraph" w:styleId="55">
    <w:name w:val="List Number 5"/>
    <w:basedOn w:val="1"/>
    <w:qFormat/>
    <w:uiPriority w:val="0"/>
    <w:pPr>
      <w:numPr>
        <w:ilvl w:val="0"/>
        <w:numId w:val="6"/>
      </w:numPr>
      <w:tabs>
        <w:tab w:val="left" w:pos="360"/>
        <w:tab w:val="clear" w:pos="2040"/>
      </w:tabs>
      <w:ind w:left="0" w:leftChars="0" w:firstLine="0" w:firstLineChars="0"/>
    </w:pPr>
  </w:style>
  <w:style w:type="paragraph" w:styleId="56">
    <w:name w:val="List"/>
    <w:basedOn w:val="1"/>
    <w:qFormat/>
    <w:uiPriority w:val="0"/>
    <w:pPr>
      <w:widowControl/>
      <w:snapToGrid w:val="0"/>
      <w:spacing w:before="80" w:beforeLines="50" w:after="80" w:afterLines="50" w:line="300" w:lineRule="auto"/>
      <w:ind w:left="200" w:hanging="200" w:hangingChars="200"/>
    </w:pPr>
    <w:rPr>
      <w:rFonts w:ascii="Arial" w:hAnsi="Arial"/>
      <w:bCs/>
      <w:kern w:val="0"/>
      <w:szCs w:val="20"/>
    </w:rPr>
  </w:style>
  <w:style w:type="paragraph" w:styleId="57">
    <w:name w:val="footnote text"/>
    <w:basedOn w:val="1"/>
    <w:link w:val="124"/>
    <w:qFormat/>
    <w:uiPriority w:val="0"/>
    <w:pPr>
      <w:snapToGrid w:val="0"/>
      <w:jc w:val="left"/>
    </w:pPr>
    <w:rPr>
      <w:sz w:val="18"/>
      <w:szCs w:val="18"/>
    </w:rPr>
  </w:style>
  <w:style w:type="paragraph" w:styleId="58">
    <w:name w:val="toc 6"/>
    <w:basedOn w:val="1"/>
    <w:next w:val="1"/>
    <w:qFormat/>
    <w:uiPriority w:val="39"/>
    <w:pPr>
      <w:ind w:left="1050"/>
      <w:jc w:val="left"/>
    </w:pPr>
    <w:rPr>
      <w:sz w:val="18"/>
      <w:szCs w:val="18"/>
    </w:rPr>
  </w:style>
  <w:style w:type="paragraph" w:styleId="59">
    <w:name w:val="List 5"/>
    <w:basedOn w:val="1"/>
    <w:qFormat/>
    <w:uiPriority w:val="0"/>
    <w:pPr>
      <w:spacing w:before="120" w:beforeLines="50" w:after="120" w:afterLines="50" w:line="360" w:lineRule="auto"/>
      <w:ind w:left="100" w:leftChars="800" w:hanging="200" w:hangingChars="200"/>
    </w:pPr>
    <w:rPr>
      <w:bCs/>
    </w:rPr>
  </w:style>
  <w:style w:type="paragraph" w:styleId="60">
    <w:name w:val="Body Text Indent 3"/>
    <w:basedOn w:val="1"/>
    <w:link w:val="545"/>
    <w:qFormat/>
    <w:uiPriority w:val="0"/>
    <w:pPr>
      <w:snapToGrid w:val="0"/>
      <w:spacing w:line="288" w:lineRule="auto"/>
      <w:ind w:firstLine="400"/>
    </w:pPr>
    <w:rPr>
      <w:rFonts w:ascii="Courier New" w:hAnsi="Courier New"/>
      <w:szCs w:val="20"/>
    </w:rPr>
  </w:style>
  <w:style w:type="paragraph" w:styleId="61">
    <w:name w:val="index 7"/>
    <w:basedOn w:val="1"/>
    <w:next w:val="1"/>
    <w:semiHidden/>
    <w:qFormat/>
    <w:uiPriority w:val="0"/>
    <w:pPr>
      <w:ind w:left="1200" w:leftChars="1200"/>
    </w:pPr>
  </w:style>
  <w:style w:type="paragraph" w:styleId="62">
    <w:name w:val="index 9"/>
    <w:basedOn w:val="1"/>
    <w:next w:val="1"/>
    <w:semiHidden/>
    <w:qFormat/>
    <w:uiPriority w:val="0"/>
    <w:pPr>
      <w:ind w:left="1600" w:leftChars="1600"/>
    </w:pPr>
  </w:style>
  <w:style w:type="paragraph" w:styleId="63">
    <w:name w:val="table of figures"/>
    <w:basedOn w:val="1"/>
    <w:next w:val="1"/>
    <w:qFormat/>
    <w:uiPriority w:val="99"/>
    <w:pPr>
      <w:ind w:left="840" w:leftChars="200" w:hanging="420" w:hangingChars="200"/>
    </w:pPr>
  </w:style>
  <w:style w:type="paragraph" w:styleId="64">
    <w:name w:val="toc 2"/>
    <w:basedOn w:val="1"/>
    <w:next w:val="1"/>
    <w:qFormat/>
    <w:uiPriority w:val="39"/>
    <w:pPr>
      <w:ind w:left="210"/>
      <w:jc w:val="left"/>
    </w:pPr>
    <w:rPr>
      <w:rFonts w:ascii="Arial" w:hAnsi="Arial"/>
      <w:smallCaps/>
      <w:szCs w:val="20"/>
    </w:rPr>
  </w:style>
  <w:style w:type="paragraph" w:styleId="65">
    <w:name w:val="toc 9"/>
    <w:basedOn w:val="1"/>
    <w:next w:val="1"/>
    <w:qFormat/>
    <w:uiPriority w:val="39"/>
    <w:pPr>
      <w:ind w:left="1680"/>
      <w:jc w:val="left"/>
    </w:pPr>
    <w:rPr>
      <w:sz w:val="18"/>
      <w:szCs w:val="18"/>
    </w:rPr>
  </w:style>
  <w:style w:type="paragraph" w:styleId="66">
    <w:name w:val="Body Text 2"/>
    <w:basedOn w:val="1"/>
    <w:link w:val="543"/>
    <w:qFormat/>
    <w:uiPriority w:val="0"/>
    <w:pPr>
      <w:snapToGrid w:val="0"/>
      <w:spacing w:line="288" w:lineRule="auto"/>
      <w:jc w:val="center"/>
    </w:pPr>
    <w:rPr>
      <w:rFonts w:ascii="Courier New" w:hAnsi="Courier New"/>
      <w:szCs w:val="20"/>
    </w:rPr>
  </w:style>
  <w:style w:type="paragraph" w:styleId="67">
    <w:name w:val="List Continue 2"/>
    <w:basedOn w:val="1"/>
    <w:qFormat/>
    <w:uiPriority w:val="0"/>
    <w:pPr>
      <w:widowControl/>
      <w:snapToGrid w:val="0"/>
      <w:spacing w:before="80" w:beforeLines="50" w:after="120" w:afterLines="50" w:line="300" w:lineRule="auto"/>
      <w:ind w:left="840" w:leftChars="400" w:firstLine="480" w:firstLineChars="200"/>
    </w:pPr>
    <w:rPr>
      <w:rFonts w:ascii="Arial" w:hAnsi="Arial"/>
      <w:bCs/>
      <w:kern w:val="0"/>
      <w:szCs w:val="20"/>
    </w:rPr>
  </w:style>
  <w:style w:type="paragraph" w:styleId="68">
    <w:name w:val="HTML Preformatted"/>
    <w:basedOn w:val="1"/>
    <w:link w:val="446"/>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lang w:val="zh-CN"/>
    </w:rPr>
  </w:style>
  <w:style w:type="paragraph" w:styleId="69">
    <w:name w:val="Normal (Web)"/>
    <w:basedOn w:val="1"/>
    <w:link w:val="125"/>
    <w:unhideWhenUsed/>
    <w:qFormat/>
    <w:uiPriority w:val="99"/>
    <w:pPr>
      <w:widowControl/>
      <w:spacing w:before="100" w:beforeAutospacing="1" w:after="100" w:afterAutospacing="1"/>
      <w:jc w:val="left"/>
    </w:pPr>
    <w:rPr>
      <w:rFonts w:hAnsi="宋体" w:cs="宋体"/>
      <w:kern w:val="0"/>
    </w:rPr>
  </w:style>
  <w:style w:type="paragraph" w:styleId="70">
    <w:name w:val="index 2"/>
    <w:basedOn w:val="1"/>
    <w:next w:val="1"/>
    <w:semiHidden/>
    <w:qFormat/>
    <w:uiPriority w:val="0"/>
    <w:pPr>
      <w:ind w:left="200" w:leftChars="200"/>
    </w:pPr>
  </w:style>
  <w:style w:type="paragraph" w:styleId="71">
    <w:name w:val="Title"/>
    <w:basedOn w:val="1"/>
    <w:link w:val="126"/>
    <w:qFormat/>
    <w:locked/>
    <w:uiPriority w:val="0"/>
    <w:pPr>
      <w:spacing w:before="240" w:after="60"/>
      <w:jc w:val="center"/>
      <w:outlineLvl w:val="0"/>
    </w:pPr>
    <w:rPr>
      <w:rFonts w:ascii="Arial" w:hAnsi="Arial" w:cs="Arial"/>
      <w:b/>
      <w:bCs/>
      <w:sz w:val="32"/>
      <w:szCs w:val="32"/>
    </w:rPr>
  </w:style>
  <w:style w:type="paragraph" w:styleId="72">
    <w:name w:val="annotation subject"/>
    <w:basedOn w:val="26"/>
    <w:next w:val="26"/>
    <w:link w:val="127"/>
    <w:qFormat/>
    <w:uiPriority w:val="0"/>
    <w:rPr>
      <w:b/>
      <w:bCs/>
    </w:rPr>
  </w:style>
  <w:style w:type="paragraph" w:styleId="73">
    <w:name w:val="Body Text First Indent"/>
    <w:basedOn w:val="1"/>
    <w:link w:val="128"/>
    <w:unhideWhenUsed/>
    <w:qFormat/>
    <w:uiPriority w:val="0"/>
    <w:pPr>
      <w:spacing w:after="120"/>
      <w:ind w:firstLine="420" w:firstLineChars="100"/>
    </w:pPr>
  </w:style>
  <w:style w:type="paragraph" w:styleId="74">
    <w:name w:val="Body Text First Indent 2"/>
    <w:basedOn w:val="50"/>
    <w:link w:val="751"/>
    <w:qFormat/>
    <w:uiPriority w:val="0"/>
    <w:pPr>
      <w:tabs>
        <w:tab w:val="left" w:pos="360"/>
        <w:tab w:val="left" w:pos="482"/>
        <w:tab w:val="right" w:leader="dot" w:pos="8455"/>
        <w:tab w:val="clear" w:pos="9061"/>
      </w:tabs>
      <w:spacing w:before="0" w:after="0" w:line="360" w:lineRule="auto"/>
    </w:pPr>
    <w:rPr>
      <w:rFonts w:ascii="Calibri" w:hAnsi="Calibri"/>
      <w:caps w:val="0"/>
    </w:rPr>
  </w:style>
  <w:style w:type="table" w:styleId="76">
    <w:name w:val="Table Grid"/>
    <w:basedOn w:val="7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7">
    <w:name w:val="Table Theme"/>
    <w:basedOn w:val="7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8">
    <w:name w:val="Table Elegant"/>
    <w:basedOn w:val="7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l2br w:val="nil"/>
          <w:tr2bl w:val="nil"/>
        </w:tcBorders>
      </w:tcPr>
    </w:tblStylePr>
  </w:style>
  <w:style w:type="table" w:styleId="79">
    <w:name w:val="Table Subtle 1"/>
    <w:basedOn w:val="75"/>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bottom w:val="single" w:color="000000" w:sz="12" w:space="0"/>
          <w:tl2br w:val="nil"/>
          <w:tr2bl w:val="nil"/>
        </w:tcBorders>
      </w:tcPr>
    </w:tblStylePr>
    <w:tblStylePr w:type="lastRow">
      <w:tblPr/>
      <w:tcPr>
        <w:tcBorders>
          <w:top w:val="single" w:color="000000" w:sz="12" w:space="0"/>
          <w:tl2br w:val="nil"/>
          <w:tr2bl w:val="nil"/>
        </w:tcBorders>
        <w:shd w:val="pct25" w:color="800080" w:fill="FFFFFF"/>
      </w:tcPr>
    </w:tblStylePr>
    <w:tblStylePr w:type="firstCol">
      <w:tblPr/>
      <w:tcPr>
        <w:tcBorders>
          <w:right w:val="single" w:color="000000" w:sz="12" w:space="0"/>
          <w:tl2br w:val="nil"/>
          <w:tr2bl w:val="nil"/>
        </w:tcBorders>
      </w:tcPr>
    </w:tblStylePr>
    <w:tblStylePr w:type="lastCol">
      <w:tblPr/>
      <w:tcPr>
        <w:tcBorders>
          <w:left w:val="single" w:color="000000" w:sz="12" w:space="0"/>
          <w:tl2br w:val="nil"/>
          <w:tr2bl w:val="nil"/>
        </w:tcBorders>
      </w:tcPr>
    </w:tblStylePr>
    <w:tblStylePr w:type="band1Horz">
      <w:tblPr/>
      <w:tcPr>
        <w:tcBorders>
          <w:bottom w:val="single" w:color="000000" w:sz="6" w:space="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80">
    <w:name w:val="Table Professional"/>
    <w:basedOn w:val="75"/>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l2br w:val="nil"/>
          <w:tr2bl w:val="nil"/>
        </w:tcBorders>
        <w:shd w:val="solid" w:color="000000" w:fill="FFFFFF"/>
      </w:tcPr>
    </w:tblStylePr>
  </w:style>
  <w:style w:type="character" w:styleId="82">
    <w:name w:val="Strong"/>
    <w:qFormat/>
    <w:locked/>
    <w:uiPriority w:val="0"/>
    <w:rPr>
      <w:b/>
    </w:rPr>
  </w:style>
  <w:style w:type="character" w:styleId="83">
    <w:name w:val="endnote reference"/>
    <w:semiHidden/>
    <w:qFormat/>
    <w:uiPriority w:val="0"/>
    <w:rPr>
      <w:vertAlign w:val="superscript"/>
    </w:rPr>
  </w:style>
  <w:style w:type="character" w:styleId="84">
    <w:name w:val="page number"/>
    <w:qFormat/>
    <w:uiPriority w:val="0"/>
  </w:style>
  <w:style w:type="character" w:styleId="85">
    <w:name w:val="FollowedHyperlink"/>
    <w:basedOn w:val="81"/>
    <w:unhideWhenUsed/>
    <w:qFormat/>
    <w:uiPriority w:val="99"/>
    <w:rPr>
      <w:color w:val="800080" w:themeColor="followedHyperlink"/>
      <w:u w:val="single"/>
      <w14:textFill>
        <w14:solidFill>
          <w14:schemeClr w14:val="folHlink"/>
        </w14:solidFill>
      </w14:textFill>
    </w:rPr>
  </w:style>
  <w:style w:type="character" w:styleId="86">
    <w:name w:val="Emphasis"/>
    <w:qFormat/>
    <w:locked/>
    <w:uiPriority w:val="20"/>
    <w:rPr>
      <w:i/>
      <w:iCs/>
    </w:rPr>
  </w:style>
  <w:style w:type="character" w:styleId="87">
    <w:name w:val="line number"/>
    <w:basedOn w:val="81"/>
    <w:qFormat/>
    <w:uiPriority w:val="0"/>
  </w:style>
  <w:style w:type="character" w:styleId="88">
    <w:name w:val="HTML Definition"/>
    <w:qFormat/>
    <w:uiPriority w:val="0"/>
    <w:rPr>
      <w:i/>
      <w:iCs/>
    </w:rPr>
  </w:style>
  <w:style w:type="character" w:styleId="89">
    <w:name w:val="HTML Typewriter"/>
    <w:qFormat/>
    <w:uiPriority w:val="0"/>
    <w:rPr>
      <w:rFonts w:ascii="Courier New" w:hAnsi="Courier New"/>
      <w:sz w:val="20"/>
      <w:szCs w:val="20"/>
    </w:rPr>
  </w:style>
  <w:style w:type="character" w:styleId="90">
    <w:name w:val="HTML Acronym"/>
    <w:qFormat/>
    <w:uiPriority w:val="0"/>
  </w:style>
  <w:style w:type="character" w:styleId="91">
    <w:name w:val="HTML Variable"/>
    <w:qFormat/>
    <w:uiPriority w:val="0"/>
    <w:rPr>
      <w:i/>
      <w:iCs/>
    </w:rPr>
  </w:style>
  <w:style w:type="character" w:styleId="92">
    <w:name w:val="Hyperlink"/>
    <w:basedOn w:val="81"/>
    <w:unhideWhenUsed/>
    <w:qFormat/>
    <w:locked/>
    <w:uiPriority w:val="99"/>
    <w:rPr>
      <w:color w:val="0000FF" w:themeColor="hyperlink"/>
      <w:u w:val="single"/>
      <w14:textFill>
        <w14:solidFill>
          <w14:schemeClr w14:val="hlink"/>
        </w14:solidFill>
      </w14:textFill>
    </w:rPr>
  </w:style>
  <w:style w:type="character" w:styleId="93">
    <w:name w:val="HTML Code"/>
    <w:qFormat/>
    <w:uiPriority w:val="0"/>
    <w:rPr>
      <w:rFonts w:ascii="Courier New" w:hAnsi="Courier New"/>
      <w:sz w:val="20"/>
      <w:szCs w:val="20"/>
    </w:rPr>
  </w:style>
  <w:style w:type="character" w:styleId="94">
    <w:name w:val="annotation reference"/>
    <w:basedOn w:val="81"/>
    <w:qFormat/>
    <w:uiPriority w:val="0"/>
    <w:rPr>
      <w:rFonts w:cs="Times New Roman"/>
      <w:sz w:val="21"/>
      <w:szCs w:val="21"/>
    </w:rPr>
  </w:style>
  <w:style w:type="character" w:styleId="95">
    <w:name w:val="HTML Cite"/>
    <w:qFormat/>
    <w:uiPriority w:val="0"/>
    <w:rPr>
      <w:i/>
      <w:iCs/>
    </w:rPr>
  </w:style>
  <w:style w:type="character" w:styleId="96">
    <w:name w:val="footnote reference"/>
    <w:qFormat/>
    <w:uiPriority w:val="0"/>
    <w:rPr>
      <w:vertAlign w:val="superscript"/>
    </w:rPr>
  </w:style>
  <w:style w:type="character" w:styleId="97">
    <w:name w:val="HTML Keyboard"/>
    <w:qFormat/>
    <w:uiPriority w:val="0"/>
    <w:rPr>
      <w:rFonts w:ascii="Courier New" w:hAnsi="Courier New"/>
      <w:sz w:val="20"/>
      <w:szCs w:val="20"/>
    </w:rPr>
  </w:style>
  <w:style w:type="character" w:styleId="98">
    <w:name w:val="HTML Sample"/>
    <w:qFormat/>
    <w:uiPriority w:val="0"/>
    <w:rPr>
      <w:rFonts w:ascii="Courier New" w:hAnsi="Courier New"/>
    </w:rPr>
  </w:style>
  <w:style w:type="character" w:customStyle="1" w:styleId="99">
    <w:name w:val="标题 2 Char1"/>
    <w:basedOn w:val="81"/>
    <w:link w:val="4"/>
    <w:qFormat/>
    <w:uiPriority w:val="0"/>
    <w:rPr>
      <w:rFonts w:ascii="Arial" w:hAnsi="Arial"/>
      <w:b/>
      <w:bCs/>
      <w:kern w:val="2"/>
      <w:sz w:val="30"/>
      <w:szCs w:val="32"/>
    </w:rPr>
  </w:style>
  <w:style w:type="character" w:customStyle="1" w:styleId="100">
    <w:name w:val="标题 1 Char"/>
    <w:qFormat/>
    <w:uiPriority w:val="9"/>
    <w:rPr>
      <w:rFonts w:ascii="Arial" w:hAnsi="Arial"/>
      <w:b/>
      <w:color w:val="FFFFFF"/>
      <w:kern w:val="44"/>
      <w:sz w:val="21"/>
      <w:szCs w:val="21"/>
    </w:rPr>
  </w:style>
  <w:style w:type="character" w:customStyle="1" w:styleId="101">
    <w:name w:val="标题 3 Char"/>
    <w:qFormat/>
    <w:uiPriority w:val="0"/>
    <w:rPr>
      <w:rFonts w:ascii="Arial" w:hAnsi="Arial"/>
      <w:b/>
      <w:bCs/>
      <w:kern w:val="2"/>
      <w:sz w:val="28"/>
      <w:szCs w:val="32"/>
    </w:rPr>
  </w:style>
  <w:style w:type="paragraph" w:customStyle="1" w:styleId="102">
    <w:name w:val="样式4"/>
    <w:basedOn w:val="20"/>
    <w:qFormat/>
    <w:uiPriority w:val="0"/>
    <w:pPr>
      <w:widowControl w:val="0"/>
      <w:spacing w:after="120" w:afterLines="0" w:line="360" w:lineRule="auto"/>
      <w:ind w:firstLine="0"/>
      <w:jc w:val="both"/>
    </w:pPr>
    <w:rPr>
      <w:b/>
    </w:rPr>
  </w:style>
  <w:style w:type="paragraph" w:customStyle="1" w:styleId="103">
    <w:name w:val="样式5"/>
    <w:basedOn w:val="1"/>
    <w:qFormat/>
    <w:uiPriority w:val="0"/>
    <w:pPr>
      <w:widowControl/>
      <w:snapToGrid w:val="0"/>
      <w:spacing w:before="120" w:beforeLines="50" w:after="120" w:afterLines="50" w:line="440" w:lineRule="atLeast"/>
      <w:ind w:firstLine="425" w:firstLineChars="200"/>
    </w:pPr>
    <w:rPr>
      <w:bCs/>
      <w:szCs w:val="20"/>
    </w:rPr>
  </w:style>
  <w:style w:type="character" w:customStyle="1" w:styleId="104">
    <w:name w:val="标题 1 Char1"/>
    <w:link w:val="3"/>
    <w:qFormat/>
    <w:uiPriority w:val="0"/>
    <w:rPr>
      <w:rFonts w:ascii="Arial" w:hAnsi="Arial" w:eastAsia="宋体" w:cs="Times New Roman"/>
      <w:b/>
      <w:color w:val="FFFFFF" w:themeColor="background1"/>
      <w:kern w:val="44"/>
      <w:sz w:val="24"/>
      <w:szCs w:val="21"/>
      <w:lang w:val="en-US" w:eastAsia="zh-CN" w:bidi="ar-SA"/>
      <w14:textFill>
        <w14:solidFill>
          <w14:schemeClr w14:val="bg1"/>
        </w14:solidFill>
      </w14:textFill>
    </w:rPr>
  </w:style>
  <w:style w:type="character" w:customStyle="1" w:styleId="105">
    <w:name w:val="标题 3 Char1"/>
    <w:basedOn w:val="81"/>
    <w:link w:val="5"/>
    <w:qFormat/>
    <w:locked/>
    <w:uiPriority w:val="0"/>
    <w:rPr>
      <w:rFonts w:ascii="Arial" w:hAnsi="Arial"/>
      <w:b/>
      <w:bCs/>
      <w:kern w:val="2"/>
      <w:sz w:val="28"/>
      <w:szCs w:val="32"/>
    </w:rPr>
  </w:style>
  <w:style w:type="character" w:customStyle="1" w:styleId="106">
    <w:name w:val="标题 4 Char1"/>
    <w:basedOn w:val="81"/>
    <w:link w:val="6"/>
    <w:qFormat/>
    <w:locked/>
    <w:uiPriority w:val="0"/>
    <w:rPr>
      <w:rFonts w:ascii="Arial" w:hAnsi="Arial" w:cs="Arial"/>
      <w:b/>
      <w:bCs/>
      <w:color w:val="000000"/>
      <w:kern w:val="2"/>
      <w:sz w:val="24"/>
      <w:szCs w:val="24"/>
    </w:rPr>
  </w:style>
  <w:style w:type="character" w:customStyle="1" w:styleId="107">
    <w:name w:val="标题 5 Char2"/>
    <w:basedOn w:val="81"/>
    <w:link w:val="7"/>
    <w:qFormat/>
    <w:uiPriority w:val="0"/>
    <w:rPr>
      <w:rFonts w:ascii="Arial" w:hAnsi="Arial"/>
      <w:b/>
      <w:bCs/>
      <w:kern w:val="2"/>
      <w:sz w:val="24"/>
      <w:szCs w:val="28"/>
    </w:rPr>
  </w:style>
  <w:style w:type="character" w:customStyle="1" w:styleId="108">
    <w:name w:val="标题 6 Char2"/>
    <w:basedOn w:val="81"/>
    <w:link w:val="8"/>
    <w:qFormat/>
    <w:uiPriority w:val="0"/>
    <w:rPr>
      <w:rFonts w:ascii="Arial" w:hAnsi="Arial"/>
      <w:b/>
      <w:bCs/>
      <w:kern w:val="2"/>
      <w:sz w:val="24"/>
      <w:szCs w:val="24"/>
    </w:rPr>
  </w:style>
  <w:style w:type="character" w:customStyle="1" w:styleId="109">
    <w:name w:val="标题 7 Char2"/>
    <w:basedOn w:val="81"/>
    <w:link w:val="9"/>
    <w:qFormat/>
    <w:uiPriority w:val="9"/>
    <w:rPr>
      <w:rFonts w:ascii="Arial" w:hAnsi="Arial" w:cs="Arial"/>
      <w:b/>
      <w:bCs/>
      <w:kern w:val="2"/>
      <w:sz w:val="32"/>
      <w:szCs w:val="32"/>
    </w:rPr>
  </w:style>
  <w:style w:type="character" w:customStyle="1" w:styleId="110">
    <w:name w:val="标题 9 Char2"/>
    <w:basedOn w:val="81"/>
    <w:link w:val="11"/>
    <w:qFormat/>
    <w:uiPriority w:val="9"/>
    <w:rPr>
      <w:rFonts w:ascii="宋体" w:hAnsi="宋体"/>
      <w:b/>
      <w:kern w:val="2"/>
      <w:sz w:val="24"/>
      <w:szCs w:val="21"/>
    </w:rPr>
  </w:style>
  <w:style w:type="character" w:customStyle="1" w:styleId="111">
    <w:name w:val="标题 8 Char1"/>
    <w:basedOn w:val="81"/>
    <w:link w:val="10"/>
    <w:qFormat/>
    <w:uiPriority w:val="9"/>
    <w:rPr>
      <w:rFonts w:ascii="宋体" w:hAnsi="宋体"/>
      <w:b/>
      <w:kern w:val="2"/>
      <w:sz w:val="24"/>
      <w:szCs w:val="21"/>
    </w:rPr>
  </w:style>
  <w:style w:type="character" w:customStyle="1" w:styleId="112">
    <w:name w:val="宏文本 Char1"/>
    <w:basedOn w:val="81"/>
    <w:link w:val="2"/>
    <w:semiHidden/>
    <w:qFormat/>
    <w:uiPriority w:val="0"/>
    <w:rPr>
      <w:rFonts w:ascii="Courier New" w:hAnsi="Courier New" w:cs="Courier New"/>
      <w:kern w:val="2"/>
      <w:sz w:val="24"/>
      <w:szCs w:val="24"/>
      <w:lang w:val="en-US" w:eastAsia="zh-CN" w:bidi="ar-SA"/>
    </w:rPr>
  </w:style>
  <w:style w:type="character" w:customStyle="1" w:styleId="113">
    <w:name w:val="正文缩进 Char"/>
    <w:link w:val="20"/>
    <w:qFormat/>
    <w:uiPriority w:val="0"/>
    <w:rPr>
      <w:kern w:val="2"/>
      <w:sz w:val="21"/>
    </w:rPr>
  </w:style>
  <w:style w:type="character" w:customStyle="1" w:styleId="114">
    <w:name w:val="题注 Char1"/>
    <w:link w:val="21"/>
    <w:qFormat/>
    <w:uiPriority w:val="0"/>
    <w:rPr>
      <w:rFonts w:ascii="Cambria" w:hAnsi="Cambria" w:eastAsia="黑体"/>
      <w:kern w:val="2"/>
    </w:rPr>
  </w:style>
  <w:style w:type="character" w:customStyle="1" w:styleId="115">
    <w:name w:val="文档结构图 Char2"/>
    <w:basedOn w:val="81"/>
    <w:link w:val="24"/>
    <w:qFormat/>
    <w:uiPriority w:val="99"/>
    <w:rPr>
      <w:sz w:val="0"/>
      <w:szCs w:val="0"/>
    </w:rPr>
  </w:style>
  <w:style w:type="character" w:customStyle="1" w:styleId="116">
    <w:name w:val="批注文字 Char2"/>
    <w:basedOn w:val="81"/>
    <w:link w:val="26"/>
    <w:qFormat/>
    <w:uiPriority w:val="0"/>
    <w:rPr>
      <w:szCs w:val="24"/>
    </w:rPr>
  </w:style>
  <w:style w:type="character" w:customStyle="1" w:styleId="117">
    <w:name w:val="正文文本 Char2"/>
    <w:link w:val="31"/>
    <w:qFormat/>
    <w:uiPriority w:val="99"/>
    <w:rPr>
      <w:kern w:val="2"/>
      <w:sz w:val="21"/>
      <w:szCs w:val="24"/>
    </w:rPr>
  </w:style>
  <w:style w:type="character" w:customStyle="1" w:styleId="118">
    <w:name w:val="正文文本缩进 Char2"/>
    <w:link w:val="32"/>
    <w:qFormat/>
    <w:uiPriority w:val="0"/>
    <w:rPr>
      <w:kern w:val="2"/>
      <w:sz w:val="21"/>
      <w:szCs w:val="24"/>
    </w:rPr>
  </w:style>
  <w:style w:type="character" w:customStyle="1" w:styleId="119">
    <w:name w:val="尾注文本 Char1"/>
    <w:basedOn w:val="81"/>
    <w:link w:val="46"/>
    <w:semiHidden/>
    <w:qFormat/>
    <w:uiPriority w:val="99"/>
    <w:rPr>
      <w:szCs w:val="24"/>
    </w:rPr>
  </w:style>
  <w:style w:type="character" w:customStyle="1" w:styleId="120">
    <w:name w:val="批注框文本 Char3"/>
    <w:basedOn w:val="81"/>
    <w:link w:val="47"/>
    <w:qFormat/>
    <w:uiPriority w:val="99"/>
    <w:rPr>
      <w:sz w:val="0"/>
      <w:szCs w:val="0"/>
    </w:rPr>
  </w:style>
  <w:style w:type="character" w:customStyle="1" w:styleId="121">
    <w:name w:val="页脚 Char2"/>
    <w:basedOn w:val="81"/>
    <w:link w:val="48"/>
    <w:qFormat/>
    <w:uiPriority w:val="99"/>
    <w:rPr>
      <w:sz w:val="18"/>
      <w:szCs w:val="18"/>
    </w:rPr>
  </w:style>
  <w:style w:type="character" w:customStyle="1" w:styleId="122">
    <w:name w:val="页眉 Char2"/>
    <w:basedOn w:val="81"/>
    <w:link w:val="49"/>
    <w:qFormat/>
    <w:uiPriority w:val="99"/>
    <w:rPr>
      <w:sz w:val="18"/>
      <w:szCs w:val="18"/>
    </w:rPr>
  </w:style>
  <w:style w:type="character" w:customStyle="1" w:styleId="123">
    <w:name w:val="目录 4 Char"/>
    <w:basedOn w:val="117"/>
    <w:link w:val="51"/>
    <w:qFormat/>
    <w:uiPriority w:val="39"/>
    <w:rPr>
      <w:kern w:val="2"/>
      <w:sz w:val="18"/>
      <w:szCs w:val="18"/>
    </w:rPr>
  </w:style>
  <w:style w:type="character" w:customStyle="1" w:styleId="124">
    <w:name w:val="脚注文本 Char1"/>
    <w:basedOn w:val="81"/>
    <w:link w:val="57"/>
    <w:qFormat/>
    <w:uiPriority w:val="99"/>
    <w:rPr>
      <w:sz w:val="18"/>
      <w:szCs w:val="18"/>
    </w:rPr>
  </w:style>
  <w:style w:type="character" w:customStyle="1" w:styleId="125">
    <w:name w:val="普通(网站) Char"/>
    <w:link w:val="69"/>
    <w:qFormat/>
    <w:uiPriority w:val="99"/>
    <w:rPr>
      <w:rFonts w:ascii="宋体" w:hAnsi="宋体" w:cs="宋体"/>
      <w:sz w:val="24"/>
      <w:szCs w:val="24"/>
    </w:rPr>
  </w:style>
  <w:style w:type="character" w:customStyle="1" w:styleId="126">
    <w:name w:val="标题 Char2"/>
    <w:basedOn w:val="81"/>
    <w:link w:val="71"/>
    <w:qFormat/>
    <w:uiPriority w:val="0"/>
    <w:rPr>
      <w:rFonts w:ascii="Arial" w:hAnsi="Arial" w:cs="Arial"/>
      <w:b/>
      <w:bCs/>
      <w:kern w:val="2"/>
      <w:sz w:val="32"/>
      <w:szCs w:val="32"/>
    </w:rPr>
  </w:style>
  <w:style w:type="character" w:customStyle="1" w:styleId="127">
    <w:name w:val="批注主题 Char2"/>
    <w:basedOn w:val="116"/>
    <w:link w:val="72"/>
    <w:qFormat/>
    <w:uiPriority w:val="99"/>
    <w:rPr>
      <w:b/>
      <w:bCs/>
      <w:szCs w:val="24"/>
    </w:rPr>
  </w:style>
  <w:style w:type="character" w:customStyle="1" w:styleId="128">
    <w:name w:val="正文首行缩进 Char2"/>
    <w:basedOn w:val="81"/>
    <w:link w:val="73"/>
    <w:qFormat/>
    <w:uiPriority w:val="0"/>
  </w:style>
  <w:style w:type="paragraph" w:customStyle="1" w:styleId="129">
    <w:name w:val="z-窗体顶端1"/>
    <w:basedOn w:val="1"/>
    <w:next w:val="1"/>
    <w:link w:val="130"/>
    <w:qFormat/>
    <w:uiPriority w:val="0"/>
    <w:pPr>
      <w:widowControl/>
      <w:pBdr>
        <w:bottom w:val="single" w:color="auto" w:sz="6" w:space="1"/>
      </w:pBdr>
      <w:jc w:val="center"/>
    </w:pPr>
    <w:rPr>
      <w:rFonts w:ascii="Arial" w:hAnsi="Arial" w:cs="Arial"/>
      <w:vanish/>
      <w:kern w:val="0"/>
      <w:sz w:val="16"/>
      <w:szCs w:val="16"/>
    </w:rPr>
  </w:style>
  <w:style w:type="character" w:customStyle="1" w:styleId="130">
    <w:name w:val="z-窗体顶端 字符"/>
    <w:basedOn w:val="81"/>
    <w:link w:val="129"/>
    <w:qFormat/>
    <w:uiPriority w:val="99"/>
    <w:rPr>
      <w:rFonts w:ascii="Arial" w:hAnsi="Arial" w:cs="Arial"/>
      <w:vanish/>
      <w:sz w:val="16"/>
      <w:szCs w:val="16"/>
    </w:rPr>
  </w:style>
  <w:style w:type="paragraph" w:customStyle="1" w:styleId="131">
    <w:name w:val="z-窗体底端1"/>
    <w:basedOn w:val="1"/>
    <w:next w:val="1"/>
    <w:link w:val="132"/>
    <w:qFormat/>
    <w:uiPriority w:val="0"/>
    <w:pPr>
      <w:widowControl/>
      <w:pBdr>
        <w:top w:val="single" w:color="auto" w:sz="6" w:space="1"/>
      </w:pBdr>
      <w:jc w:val="center"/>
    </w:pPr>
    <w:rPr>
      <w:rFonts w:ascii="Arial" w:hAnsi="Arial" w:cs="Arial"/>
      <w:vanish/>
      <w:kern w:val="0"/>
      <w:sz w:val="16"/>
      <w:szCs w:val="16"/>
    </w:rPr>
  </w:style>
  <w:style w:type="character" w:customStyle="1" w:styleId="132">
    <w:name w:val="z-窗体底端 字符"/>
    <w:basedOn w:val="81"/>
    <w:link w:val="131"/>
    <w:qFormat/>
    <w:uiPriority w:val="99"/>
    <w:rPr>
      <w:rFonts w:ascii="Arial" w:hAnsi="Arial" w:cs="Arial"/>
      <w:vanish/>
      <w:sz w:val="16"/>
      <w:szCs w:val="16"/>
    </w:rPr>
  </w:style>
  <w:style w:type="paragraph" w:customStyle="1" w:styleId="133">
    <w:name w:val="表格内容"/>
    <w:basedOn w:val="1"/>
    <w:link w:val="134"/>
    <w:qFormat/>
    <w:uiPriority w:val="0"/>
    <w:pPr>
      <w:widowControl/>
      <w:autoSpaceDE w:val="0"/>
      <w:autoSpaceDN w:val="0"/>
      <w:adjustRightInd w:val="0"/>
      <w:spacing w:before="60" w:line="300" w:lineRule="auto"/>
      <w:jc w:val="center"/>
      <w:textAlignment w:val="bottom"/>
    </w:pPr>
    <w:rPr>
      <w:rFonts w:eastAsia="仿宋_GB2312"/>
      <w:kern w:val="0"/>
      <w:szCs w:val="20"/>
    </w:rPr>
  </w:style>
  <w:style w:type="character" w:customStyle="1" w:styleId="134">
    <w:name w:val="表格内容 Char"/>
    <w:link w:val="133"/>
    <w:qFormat/>
    <w:uiPriority w:val="0"/>
    <w:rPr>
      <w:rFonts w:eastAsia="仿宋_GB2312"/>
      <w:sz w:val="24"/>
    </w:rPr>
  </w:style>
  <w:style w:type="paragraph" w:styleId="135">
    <w:name w:val="List Paragraph"/>
    <w:basedOn w:val="1"/>
    <w:link w:val="136"/>
    <w:qFormat/>
    <w:uiPriority w:val="99"/>
    <w:pPr>
      <w:ind w:firstLine="420" w:firstLineChars="200"/>
    </w:pPr>
  </w:style>
  <w:style w:type="character" w:customStyle="1" w:styleId="136">
    <w:name w:val="列出段落 Char4"/>
    <w:link w:val="135"/>
    <w:qFormat/>
    <w:uiPriority w:val="34"/>
    <w:rPr>
      <w:kern w:val="2"/>
      <w:sz w:val="21"/>
      <w:szCs w:val="24"/>
    </w:rPr>
  </w:style>
  <w:style w:type="paragraph" w:customStyle="1" w:styleId="137">
    <w:name w:val="列出段落1"/>
    <w:basedOn w:val="1"/>
    <w:qFormat/>
    <w:uiPriority w:val="99"/>
    <w:pPr>
      <w:ind w:firstLine="420" w:firstLineChars="200"/>
    </w:pPr>
  </w:style>
  <w:style w:type="paragraph" w:customStyle="1" w:styleId="138">
    <w:name w:val="样式 Arial 首行缩进:  0.74 厘米 行距: 固定值 22 磅"/>
    <w:basedOn w:val="1"/>
    <w:qFormat/>
    <w:uiPriority w:val="0"/>
    <w:pPr>
      <w:spacing w:line="440" w:lineRule="exact"/>
      <w:ind w:firstLine="397"/>
    </w:pPr>
    <w:rPr>
      <w:rFonts w:ascii="Helvetica" w:hAnsi="Helvetica" w:eastAsia="仿宋_GB2312" w:cs="宋体"/>
    </w:rPr>
  </w:style>
  <w:style w:type="character" w:customStyle="1" w:styleId="139">
    <w:name w:val="auto-style1"/>
    <w:basedOn w:val="81"/>
    <w:qFormat/>
    <w:uiPriority w:val="0"/>
  </w:style>
  <w:style w:type="paragraph" w:customStyle="1" w:styleId="140">
    <w:name w:val="Char"/>
    <w:basedOn w:val="1"/>
    <w:qFormat/>
    <w:uiPriority w:val="0"/>
    <w:pPr>
      <w:spacing w:before="182" w:beforeLines="50" w:after="182" w:afterLines="50"/>
    </w:pPr>
    <w:rPr>
      <w:rFonts w:ascii="Tahoma" w:hAnsi="Tahoma"/>
      <w:szCs w:val="20"/>
    </w:rPr>
  </w:style>
  <w:style w:type="paragraph" w:customStyle="1" w:styleId="141">
    <w:name w:val="paragraph1"/>
    <w:basedOn w:val="1"/>
    <w:link w:val="142"/>
    <w:qFormat/>
    <w:uiPriority w:val="0"/>
    <w:pPr>
      <w:spacing w:after="93" w:afterLines="30" w:line="360" w:lineRule="auto"/>
      <w:ind w:firstLine="480" w:firstLineChars="200"/>
    </w:pPr>
    <w:rPr>
      <w:rFonts w:ascii="Arial" w:hAnsi="Arial"/>
    </w:rPr>
  </w:style>
  <w:style w:type="character" w:customStyle="1" w:styleId="142">
    <w:name w:val="paragraph1 Char"/>
    <w:link w:val="141"/>
    <w:qFormat/>
    <w:uiPriority w:val="0"/>
    <w:rPr>
      <w:rFonts w:ascii="Arial" w:hAnsi="Arial"/>
      <w:kern w:val="2"/>
      <w:sz w:val="24"/>
      <w:szCs w:val="24"/>
    </w:rPr>
  </w:style>
  <w:style w:type="paragraph" w:customStyle="1" w:styleId="143">
    <w:name w:val="正文2"/>
    <w:basedOn w:val="1"/>
    <w:link w:val="1189"/>
    <w:qFormat/>
    <w:uiPriority w:val="0"/>
    <w:pPr>
      <w:spacing w:before="156" w:line="360" w:lineRule="auto"/>
      <w:ind w:firstLine="510"/>
    </w:pPr>
    <w:rPr>
      <w:szCs w:val="20"/>
    </w:rPr>
  </w:style>
  <w:style w:type="paragraph" w:customStyle="1" w:styleId="144">
    <w:name w:val="正文段"/>
    <w:basedOn w:val="1"/>
    <w:qFormat/>
    <w:uiPriority w:val="0"/>
    <w:pPr>
      <w:widowControl/>
      <w:tabs>
        <w:tab w:val="left" w:pos="900"/>
      </w:tabs>
      <w:adjustRightInd w:val="0"/>
      <w:spacing w:after="120" w:line="360" w:lineRule="auto"/>
      <w:ind w:left="480"/>
    </w:pPr>
    <w:rPr>
      <w:szCs w:val="20"/>
    </w:rPr>
  </w:style>
  <w:style w:type="paragraph" w:customStyle="1" w:styleId="145">
    <w:name w:val="样式 number1 + (中文) 黑体 加粗"/>
    <w:basedOn w:val="1"/>
    <w:qFormat/>
    <w:uiPriority w:val="0"/>
    <w:pPr>
      <w:spacing w:after="30" w:afterLines="30" w:line="360" w:lineRule="auto"/>
    </w:pPr>
    <w:rPr>
      <w:rFonts w:ascii="Arial" w:hAnsi="Arial" w:eastAsia="黑体"/>
      <w:b/>
      <w:bCs/>
    </w:rPr>
  </w:style>
  <w:style w:type="paragraph" w:customStyle="1" w:styleId="146">
    <w:name w:val="Default"/>
    <w:link w:val="1190"/>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7">
    <w:name w:val="样式 标题 2H2PIM2Heading 2 HiddenHeading 2 CCBSheading 2Titre3..."/>
    <w:basedOn w:val="4"/>
    <w:qFormat/>
    <w:uiPriority w:val="0"/>
    <w:pPr>
      <w:numPr>
        <w:ilvl w:val="0"/>
        <w:numId w:val="0"/>
      </w:numPr>
      <w:spacing w:before="120" w:line="360" w:lineRule="auto"/>
      <w:jc w:val="left"/>
    </w:pPr>
    <w:rPr>
      <w:rFonts w:ascii="宋体" w:hAnsi="宋体"/>
      <w:b w:val="0"/>
      <w:szCs w:val="28"/>
      <w:u w:color="000000"/>
      <w:lang w:val="zh-CN"/>
    </w:rPr>
  </w:style>
  <w:style w:type="paragraph" w:customStyle="1" w:styleId="148">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149">
    <w:name w:val="xl63"/>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jc w:val="center"/>
    </w:pPr>
    <w:rPr>
      <w:rFonts w:hAnsi="宋体" w:cs="宋体"/>
      <w:b/>
      <w:bCs/>
      <w:kern w:val="0"/>
      <w:szCs w:val="21"/>
    </w:rPr>
  </w:style>
  <w:style w:type="paragraph" w:customStyle="1" w:styleId="150">
    <w:name w:val="xl64"/>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pPr>
    <w:rPr>
      <w:rFonts w:hAnsi="宋体" w:cs="宋体"/>
      <w:b/>
      <w:bCs/>
      <w:kern w:val="0"/>
      <w:szCs w:val="21"/>
    </w:rPr>
  </w:style>
  <w:style w:type="paragraph" w:customStyle="1" w:styleId="151">
    <w:name w:val="xl65"/>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pPr>
    <w:rPr>
      <w:rFonts w:hAnsi="宋体" w:cs="宋体"/>
      <w:b/>
      <w:bCs/>
      <w:kern w:val="0"/>
      <w:szCs w:val="21"/>
    </w:rPr>
  </w:style>
  <w:style w:type="paragraph" w:customStyle="1" w:styleId="152">
    <w:name w:val="xl66"/>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left"/>
    </w:pPr>
    <w:rPr>
      <w:rFonts w:hAnsi="宋体" w:cs="宋体"/>
      <w:kern w:val="0"/>
      <w:szCs w:val="21"/>
    </w:rPr>
  </w:style>
  <w:style w:type="paragraph" w:customStyle="1" w:styleId="15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154">
    <w:name w:val="xl68"/>
    <w:basedOn w:val="1"/>
    <w:qFormat/>
    <w:uiPriority w:val="0"/>
    <w:pPr>
      <w:widowControl/>
      <w:spacing w:before="100" w:beforeAutospacing="1" w:after="100" w:afterAutospacing="1"/>
      <w:jc w:val="left"/>
    </w:pPr>
    <w:rPr>
      <w:rFonts w:hAnsi="宋体" w:cs="宋体"/>
      <w:kern w:val="0"/>
    </w:rPr>
  </w:style>
  <w:style w:type="paragraph" w:customStyle="1" w:styleId="15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cs="宋体"/>
      <w:kern w:val="0"/>
      <w:szCs w:val="21"/>
    </w:rPr>
  </w:style>
  <w:style w:type="paragraph" w:customStyle="1" w:styleId="156">
    <w:name w:val="xl70"/>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15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color w:val="000000"/>
      <w:kern w:val="0"/>
      <w:szCs w:val="21"/>
    </w:rPr>
  </w:style>
  <w:style w:type="paragraph" w:customStyle="1" w:styleId="15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cs="宋体"/>
      <w:color w:val="000000"/>
      <w:kern w:val="0"/>
      <w:szCs w:val="21"/>
    </w:rPr>
  </w:style>
  <w:style w:type="paragraph" w:customStyle="1" w:styleId="159">
    <w:name w:val="xl73"/>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160">
    <w:name w:val="xl74"/>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pPr>
    <w:rPr>
      <w:rFonts w:hAnsi="宋体" w:cs="宋体"/>
      <w:color w:val="000000"/>
      <w:kern w:val="0"/>
      <w:szCs w:val="21"/>
    </w:rPr>
  </w:style>
  <w:style w:type="paragraph" w:customStyle="1" w:styleId="161">
    <w:name w:val="xl75"/>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162">
    <w:name w:val="xl76"/>
    <w:basedOn w:val="1"/>
    <w:qFormat/>
    <w:uiPriority w:val="0"/>
    <w:pPr>
      <w:widowControl/>
      <w:spacing w:before="100" w:beforeAutospacing="1" w:after="100" w:afterAutospacing="1"/>
      <w:jc w:val="center"/>
    </w:pPr>
    <w:rPr>
      <w:rFonts w:hAnsi="宋体" w:cs="宋体"/>
      <w:kern w:val="0"/>
    </w:rPr>
  </w:style>
  <w:style w:type="paragraph" w:customStyle="1" w:styleId="163">
    <w:name w:val="xl77"/>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center"/>
    </w:pPr>
    <w:rPr>
      <w:rFonts w:hAnsi="宋体" w:cs="宋体"/>
      <w:kern w:val="0"/>
      <w:szCs w:val="21"/>
    </w:rPr>
  </w:style>
  <w:style w:type="paragraph" w:customStyle="1" w:styleId="164">
    <w:name w:val="xl78"/>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center"/>
    </w:pPr>
    <w:rPr>
      <w:rFonts w:hAnsi="宋体" w:cs="宋体"/>
      <w:color w:val="000000"/>
      <w:kern w:val="0"/>
      <w:szCs w:val="21"/>
    </w:rPr>
  </w:style>
  <w:style w:type="paragraph" w:customStyle="1" w:styleId="165">
    <w:name w:val="xl79"/>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center"/>
    </w:pPr>
    <w:rPr>
      <w:rFonts w:hAnsi="宋体" w:cs="宋体"/>
      <w:kern w:val="0"/>
      <w:szCs w:val="21"/>
    </w:rPr>
  </w:style>
  <w:style w:type="paragraph" w:customStyle="1" w:styleId="166">
    <w:name w:val="xl80"/>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center"/>
    </w:pPr>
    <w:rPr>
      <w:rFonts w:hAnsi="宋体" w:cs="宋体"/>
      <w:kern w:val="0"/>
      <w:szCs w:val="21"/>
    </w:rPr>
  </w:style>
  <w:style w:type="paragraph" w:customStyle="1" w:styleId="167">
    <w:name w:val="xl81"/>
    <w:basedOn w:val="1"/>
    <w:qFormat/>
    <w:uiPriority w:val="0"/>
    <w:pPr>
      <w:widowControl/>
      <w:pBdr>
        <w:top w:val="single" w:color="auto" w:sz="4" w:space="0"/>
        <w:left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168">
    <w:name w:val="xl82"/>
    <w:basedOn w:val="1"/>
    <w:qFormat/>
    <w:uiPriority w:val="0"/>
    <w:pPr>
      <w:widowControl/>
      <w:pBdr>
        <w:left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169">
    <w:name w:val="xl83"/>
    <w:basedOn w:val="1"/>
    <w:qFormat/>
    <w:uiPriority w:val="0"/>
    <w:pPr>
      <w:widowControl/>
      <w:pBdr>
        <w:left w:val="double" w:color="auto" w:sz="6" w:space="0"/>
        <w:bottom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170">
    <w:name w:val="表格格式"/>
    <w:basedOn w:val="1"/>
    <w:link w:val="171"/>
    <w:qFormat/>
    <w:uiPriority w:val="2"/>
    <w:pPr>
      <w:widowControl/>
      <w:spacing w:line="360" w:lineRule="exact"/>
      <w:jc w:val="center"/>
    </w:pPr>
    <w:rPr>
      <w:rFonts w:cstheme="minorBidi"/>
      <w:kern w:val="0"/>
      <w:szCs w:val="21"/>
    </w:rPr>
  </w:style>
  <w:style w:type="character" w:customStyle="1" w:styleId="171">
    <w:name w:val="表格格式 Char"/>
    <w:basedOn w:val="81"/>
    <w:link w:val="170"/>
    <w:qFormat/>
    <w:uiPriority w:val="2"/>
    <w:rPr>
      <w:rFonts w:cstheme="minorBidi"/>
      <w:sz w:val="24"/>
      <w:szCs w:val="21"/>
    </w:rPr>
  </w:style>
  <w:style w:type="paragraph" w:customStyle="1" w:styleId="172">
    <w:name w:val="font6"/>
    <w:basedOn w:val="1"/>
    <w:qFormat/>
    <w:uiPriority w:val="0"/>
    <w:pPr>
      <w:widowControl/>
      <w:spacing w:before="100" w:beforeAutospacing="1" w:after="100" w:afterAutospacing="1"/>
      <w:jc w:val="left"/>
    </w:pPr>
    <w:rPr>
      <w:rFonts w:hAnsi="宋体" w:cs="宋体"/>
      <w:kern w:val="0"/>
      <w:szCs w:val="21"/>
    </w:rPr>
  </w:style>
  <w:style w:type="paragraph" w:customStyle="1" w:styleId="173">
    <w:name w:val="font7"/>
    <w:basedOn w:val="1"/>
    <w:qFormat/>
    <w:uiPriority w:val="0"/>
    <w:pPr>
      <w:widowControl/>
      <w:spacing w:before="100" w:beforeAutospacing="1" w:after="100" w:afterAutospacing="1"/>
      <w:jc w:val="left"/>
    </w:pPr>
    <w:rPr>
      <w:rFonts w:hAnsi="宋体" w:cs="宋体"/>
      <w:kern w:val="0"/>
      <w:sz w:val="18"/>
      <w:szCs w:val="18"/>
    </w:rPr>
  </w:style>
  <w:style w:type="paragraph" w:customStyle="1" w:styleId="174">
    <w:name w:val="font8"/>
    <w:basedOn w:val="1"/>
    <w:qFormat/>
    <w:uiPriority w:val="0"/>
    <w:pPr>
      <w:widowControl/>
      <w:spacing w:before="100" w:beforeAutospacing="1" w:after="100" w:afterAutospacing="1"/>
      <w:jc w:val="left"/>
    </w:pPr>
    <w:rPr>
      <w:rFonts w:hAnsi="宋体" w:cs="宋体"/>
      <w:kern w:val="0"/>
      <w:sz w:val="18"/>
      <w:szCs w:val="18"/>
    </w:rPr>
  </w:style>
  <w:style w:type="paragraph" w:customStyle="1" w:styleId="175">
    <w:name w:val="font9"/>
    <w:basedOn w:val="1"/>
    <w:qFormat/>
    <w:uiPriority w:val="0"/>
    <w:pPr>
      <w:widowControl/>
      <w:spacing w:before="100" w:beforeAutospacing="1" w:after="100" w:afterAutospacing="1"/>
      <w:jc w:val="left"/>
    </w:pPr>
    <w:rPr>
      <w:rFonts w:hAnsi="宋体" w:cs="宋体"/>
      <w:b/>
      <w:bCs/>
      <w:kern w:val="0"/>
      <w:szCs w:val="21"/>
    </w:rPr>
  </w:style>
  <w:style w:type="paragraph" w:customStyle="1" w:styleId="176">
    <w:name w:val="font10"/>
    <w:basedOn w:val="1"/>
    <w:qFormat/>
    <w:uiPriority w:val="0"/>
    <w:pPr>
      <w:widowControl/>
      <w:spacing w:before="100" w:beforeAutospacing="1" w:after="100" w:afterAutospacing="1"/>
      <w:jc w:val="left"/>
    </w:pPr>
    <w:rPr>
      <w:rFonts w:hAnsi="宋体" w:cs="宋体"/>
      <w:kern w:val="0"/>
      <w:szCs w:val="21"/>
    </w:rPr>
  </w:style>
  <w:style w:type="paragraph" w:customStyle="1" w:styleId="177">
    <w:name w:val="font11"/>
    <w:basedOn w:val="1"/>
    <w:qFormat/>
    <w:uiPriority w:val="0"/>
    <w:pPr>
      <w:widowControl/>
      <w:spacing w:before="100" w:beforeAutospacing="1" w:after="100" w:afterAutospacing="1"/>
      <w:jc w:val="left"/>
    </w:pPr>
    <w:rPr>
      <w:rFonts w:hAnsi="宋体" w:cs="宋体"/>
      <w:b/>
      <w:bCs/>
      <w:kern w:val="0"/>
      <w:szCs w:val="21"/>
    </w:rPr>
  </w:style>
  <w:style w:type="paragraph" w:customStyle="1" w:styleId="178">
    <w:name w:val="font12"/>
    <w:basedOn w:val="1"/>
    <w:qFormat/>
    <w:uiPriority w:val="0"/>
    <w:pPr>
      <w:widowControl/>
      <w:spacing w:before="100" w:beforeAutospacing="1" w:after="100" w:afterAutospacing="1"/>
      <w:jc w:val="left"/>
    </w:pPr>
    <w:rPr>
      <w:rFonts w:hAnsi="宋体" w:cs="宋体"/>
      <w:b/>
      <w:bCs/>
      <w:kern w:val="0"/>
      <w:szCs w:val="21"/>
    </w:rPr>
  </w:style>
  <w:style w:type="paragraph" w:customStyle="1" w:styleId="179">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81">
    <w:name w:val="xl86"/>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18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83">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84">
    <w:name w:val="xl89"/>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8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86">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87">
    <w:name w:val="xl92"/>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8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8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90">
    <w:name w:val="xl95"/>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19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192">
    <w:name w:val="xl97"/>
    <w:basedOn w:val="1"/>
    <w:qFormat/>
    <w:uiPriority w:val="0"/>
    <w:pPr>
      <w:widowControl/>
      <w:shd w:val="clear" w:color="000000" w:fill="D9D9D9"/>
      <w:spacing w:before="100" w:beforeAutospacing="1" w:after="100" w:afterAutospacing="1"/>
      <w:jc w:val="left"/>
      <w:textAlignment w:val="center"/>
    </w:pPr>
    <w:rPr>
      <w:rFonts w:hAnsi="宋体" w:cs="宋体"/>
      <w:kern w:val="0"/>
      <w:szCs w:val="21"/>
    </w:rPr>
  </w:style>
  <w:style w:type="paragraph" w:customStyle="1" w:styleId="193">
    <w:name w:val="xl98"/>
    <w:basedOn w:val="1"/>
    <w:qFormat/>
    <w:uiPriority w:val="0"/>
    <w:pPr>
      <w:widowControl/>
      <w:spacing w:before="100" w:beforeAutospacing="1" w:after="100" w:afterAutospacing="1"/>
      <w:jc w:val="left"/>
      <w:textAlignment w:val="center"/>
    </w:pPr>
    <w:rPr>
      <w:rFonts w:hAnsi="宋体" w:cs="宋体"/>
      <w:kern w:val="0"/>
      <w:szCs w:val="21"/>
    </w:rPr>
  </w:style>
  <w:style w:type="paragraph" w:customStyle="1" w:styleId="194">
    <w:name w:val="xl99"/>
    <w:basedOn w:val="1"/>
    <w:qFormat/>
    <w:uiPriority w:val="0"/>
    <w:pPr>
      <w:widowControl/>
      <w:spacing w:before="100" w:beforeAutospacing="1" w:after="100" w:afterAutospacing="1"/>
      <w:jc w:val="left"/>
      <w:textAlignment w:val="center"/>
    </w:pPr>
    <w:rPr>
      <w:rFonts w:hAnsi="宋体" w:cs="宋体"/>
      <w:kern w:val="0"/>
      <w:szCs w:val="21"/>
    </w:rPr>
  </w:style>
  <w:style w:type="paragraph" w:customStyle="1" w:styleId="195">
    <w:name w:val="xl100"/>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96">
    <w:name w:val="xl101"/>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97">
    <w:name w:val="xl102"/>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98">
    <w:name w:val="xl103"/>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99">
    <w:name w:val="xl104"/>
    <w:basedOn w:val="1"/>
    <w:qFormat/>
    <w:uiPriority w:val="0"/>
    <w:pPr>
      <w:widowControl/>
      <w:pBdr>
        <w:top w:val="single" w:color="auto" w:sz="4" w:space="0"/>
        <w:left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00">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1">
    <w:name w:val="xl106"/>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2">
    <w:name w:val="xl107"/>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3">
    <w:name w:val="xl108"/>
    <w:basedOn w:val="1"/>
    <w:qFormat/>
    <w:uiPriority w:val="0"/>
    <w:pPr>
      <w:widowControl/>
      <w:pBdr>
        <w:left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04">
    <w:name w:val="xl109"/>
    <w:basedOn w:val="1"/>
    <w:qFormat/>
    <w:uiPriority w:val="0"/>
    <w:pPr>
      <w:widowControl/>
      <w:pBdr>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05">
    <w:name w:val="xl110"/>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6">
    <w:name w:val="xl111"/>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7">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08">
    <w:name w:val="xl113"/>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09">
    <w:name w:val="xl114"/>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10">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11">
    <w:name w:val="xl116"/>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12">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13">
    <w:name w:val="xl118"/>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14">
    <w:name w:val="xl119"/>
    <w:basedOn w:val="1"/>
    <w:qFormat/>
    <w:uiPriority w:val="0"/>
    <w:pPr>
      <w:widowControl/>
      <w:pBdr>
        <w:top w:val="single" w:color="auto" w:sz="4" w:space="0"/>
        <w:left w:val="double" w:color="auto" w:sz="6"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15">
    <w:name w:val="xl120"/>
    <w:basedOn w:val="1"/>
    <w:qFormat/>
    <w:uiPriority w:val="0"/>
    <w:pPr>
      <w:widowControl/>
      <w:pBdr>
        <w:left w:val="double" w:color="auto" w:sz="6"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16">
    <w:name w:val="xl121"/>
    <w:basedOn w:val="1"/>
    <w:qFormat/>
    <w:uiPriority w:val="0"/>
    <w:pPr>
      <w:widowControl/>
      <w:pBdr>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17">
    <w:name w:val="xl122"/>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right"/>
      <w:textAlignment w:val="center"/>
    </w:pPr>
    <w:rPr>
      <w:rFonts w:hAnsi="宋体" w:cs="宋体"/>
      <w:b/>
      <w:bCs/>
      <w:kern w:val="0"/>
      <w:szCs w:val="21"/>
    </w:rPr>
  </w:style>
  <w:style w:type="paragraph" w:customStyle="1" w:styleId="218">
    <w:name w:val="xl123"/>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219">
    <w:name w:val="xl124"/>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20">
    <w:name w:val="xl125"/>
    <w:basedOn w:val="1"/>
    <w:qFormat/>
    <w:uiPriority w:val="0"/>
    <w:pPr>
      <w:widowControl/>
      <w:pBdr>
        <w:top w:val="single" w:color="auto" w:sz="4" w:space="0"/>
        <w:left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21">
    <w:name w:val="xl126"/>
    <w:basedOn w:val="1"/>
    <w:qFormat/>
    <w:uiPriority w:val="0"/>
    <w:pPr>
      <w:widowControl/>
      <w:pBdr>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22">
    <w:name w:val="xl127"/>
    <w:basedOn w:val="1"/>
    <w:qFormat/>
    <w:uiPriority w:val="0"/>
    <w:pPr>
      <w:widowControl/>
      <w:pBdr>
        <w:left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23">
    <w:name w:val="xl128"/>
    <w:basedOn w:val="1"/>
    <w:qFormat/>
    <w:uiPriority w:val="0"/>
    <w:pPr>
      <w:widowControl/>
      <w:pBdr>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24">
    <w:name w:val="font13"/>
    <w:basedOn w:val="1"/>
    <w:qFormat/>
    <w:uiPriority w:val="0"/>
    <w:pPr>
      <w:widowControl/>
      <w:spacing w:before="100" w:beforeAutospacing="1" w:after="100" w:afterAutospacing="1"/>
      <w:jc w:val="left"/>
    </w:pPr>
    <w:rPr>
      <w:rFonts w:hAnsi="宋体" w:cs="宋体"/>
      <w:kern w:val="0"/>
      <w:szCs w:val="21"/>
    </w:rPr>
  </w:style>
  <w:style w:type="paragraph" w:customStyle="1" w:styleId="225">
    <w:name w:val="标题8"/>
    <w:basedOn w:val="11"/>
    <w:next w:val="1"/>
    <w:qFormat/>
    <w:uiPriority w:val="0"/>
    <w:pPr>
      <w:numPr>
        <w:ilvl w:val="0"/>
        <w:numId w:val="0"/>
      </w:numPr>
      <w:spacing w:before="0" w:after="120"/>
      <w:outlineLvl w:val="7"/>
    </w:pPr>
    <w:rPr>
      <w:lang w:val="zh-CN"/>
    </w:rPr>
  </w:style>
  <w:style w:type="character" w:customStyle="1" w:styleId="226">
    <w:name w:val="样式 (西文) 宋体 小四"/>
    <w:basedOn w:val="81"/>
    <w:qFormat/>
    <w:uiPriority w:val="0"/>
    <w:rPr>
      <w:rFonts w:ascii="宋体" w:hAnsi="宋体" w:eastAsia="宋体"/>
      <w:sz w:val="24"/>
      <w:vertAlign w:val="baseline"/>
    </w:rPr>
  </w:style>
  <w:style w:type="paragraph" w:customStyle="1" w:styleId="227">
    <w:name w:val="font1"/>
    <w:basedOn w:val="1"/>
    <w:qFormat/>
    <w:uiPriority w:val="0"/>
    <w:pPr>
      <w:widowControl/>
      <w:spacing w:before="100" w:beforeAutospacing="1" w:after="100" w:afterAutospacing="1"/>
      <w:jc w:val="left"/>
    </w:pPr>
    <w:rPr>
      <w:rFonts w:hAnsi="宋体" w:cs="宋体"/>
      <w:color w:val="000000"/>
      <w:kern w:val="0"/>
      <w:sz w:val="22"/>
      <w:szCs w:val="22"/>
    </w:rPr>
  </w:style>
  <w:style w:type="paragraph" w:customStyle="1" w:styleId="228">
    <w:name w:val="font14"/>
    <w:basedOn w:val="1"/>
    <w:qFormat/>
    <w:uiPriority w:val="0"/>
    <w:pPr>
      <w:widowControl/>
      <w:spacing w:before="100" w:beforeAutospacing="1" w:after="100" w:afterAutospacing="1"/>
      <w:jc w:val="left"/>
    </w:pPr>
    <w:rPr>
      <w:rFonts w:hAnsi="宋体" w:cs="宋体"/>
      <w:b/>
      <w:bCs/>
      <w:kern w:val="0"/>
      <w:szCs w:val="21"/>
    </w:rPr>
  </w:style>
  <w:style w:type="paragraph" w:customStyle="1" w:styleId="229">
    <w:name w:val="font15"/>
    <w:basedOn w:val="1"/>
    <w:qFormat/>
    <w:uiPriority w:val="0"/>
    <w:pPr>
      <w:widowControl/>
      <w:spacing w:before="100" w:beforeAutospacing="1" w:after="100" w:afterAutospacing="1"/>
      <w:jc w:val="left"/>
    </w:pPr>
    <w:rPr>
      <w:rFonts w:hAnsi="宋体" w:cs="宋体"/>
      <w:kern w:val="0"/>
      <w:szCs w:val="21"/>
    </w:rPr>
  </w:style>
  <w:style w:type="paragraph" w:customStyle="1" w:styleId="230">
    <w:name w:val="font16"/>
    <w:basedOn w:val="1"/>
    <w:qFormat/>
    <w:uiPriority w:val="0"/>
    <w:pPr>
      <w:widowControl/>
      <w:spacing w:before="100" w:beforeAutospacing="1" w:after="100" w:afterAutospacing="1"/>
      <w:jc w:val="left"/>
    </w:pPr>
    <w:rPr>
      <w:rFonts w:hAnsi="宋体" w:cs="宋体"/>
      <w:kern w:val="0"/>
      <w:szCs w:val="21"/>
    </w:rPr>
  </w:style>
  <w:style w:type="paragraph" w:customStyle="1" w:styleId="231">
    <w:name w:val="xl12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32">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33">
    <w:name w:val="xl131"/>
    <w:basedOn w:val="1"/>
    <w:qFormat/>
    <w:uiPriority w:val="0"/>
    <w:pPr>
      <w:widowControl/>
      <w:pBdr>
        <w:top w:val="single" w:color="auto" w:sz="4" w:space="0"/>
        <w:left w:val="single" w:color="auto" w:sz="4" w:space="0"/>
        <w:bottom w:val="single" w:color="auto" w:sz="4" w:space="0"/>
        <w:right w:val="double" w:color="auto" w:sz="6"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34">
    <w:name w:val="xl132"/>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35">
    <w:name w:val="xl133"/>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36">
    <w:name w:val="font17"/>
    <w:basedOn w:val="1"/>
    <w:qFormat/>
    <w:uiPriority w:val="0"/>
    <w:pPr>
      <w:widowControl/>
      <w:spacing w:before="100" w:beforeAutospacing="1" w:after="100" w:afterAutospacing="1"/>
      <w:jc w:val="left"/>
    </w:pPr>
    <w:rPr>
      <w:rFonts w:hAnsi="宋体" w:cs="宋体"/>
      <w:b/>
      <w:bCs/>
      <w:kern w:val="0"/>
      <w:szCs w:val="21"/>
    </w:rPr>
  </w:style>
  <w:style w:type="paragraph" w:customStyle="1" w:styleId="237">
    <w:name w:val="font18"/>
    <w:basedOn w:val="1"/>
    <w:qFormat/>
    <w:uiPriority w:val="0"/>
    <w:pPr>
      <w:widowControl/>
      <w:spacing w:before="100" w:beforeAutospacing="1" w:after="100" w:afterAutospacing="1"/>
      <w:jc w:val="left"/>
    </w:pPr>
    <w:rPr>
      <w:rFonts w:hAnsi="宋体" w:cs="宋体"/>
      <w:kern w:val="0"/>
      <w:szCs w:val="21"/>
    </w:rPr>
  </w:style>
  <w:style w:type="table" w:customStyle="1" w:styleId="238">
    <w:name w:val="网格型1"/>
    <w:basedOn w:val="75"/>
    <w:qFormat/>
    <w:uiPriority w:val="0"/>
    <w:rPr>
      <w:rFonts w:ascii="Calibri" w:hAnsi="Calibri" w:eastAsia="微软雅黑"/>
      <w:sz w:val="22"/>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239">
    <w:name w:val="font19"/>
    <w:basedOn w:val="1"/>
    <w:qFormat/>
    <w:uiPriority w:val="0"/>
    <w:pPr>
      <w:widowControl/>
      <w:spacing w:before="100" w:beforeAutospacing="1" w:after="100" w:afterAutospacing="1"/>
      <w:jc w:val="left"/>
    </w:pPr>
    <w:rPr>
      <w:rFonts w:hAnsi="宋体" w:cs="宋体"/>
      <w:kern w:val="0"/>
      <w:szCs w:val="21"/>
    </w:rPr>
  </w:style>
  <w:style w:type="paragraph" w:customStyle="1" w:styleId="240">
    <w:name w:val="xl134"/>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character" w:customStyle="1" w:styleId="241">
    <w:name w:val="未处理的提及1"/>
    <w:basedOn w:val="81"/>
    <w:unhideWhenUsed/>
    <w:qFormat/>
    <w:uiPriority w:val="99"/>
    <w:rPr>
      <w:color w:val="605E5C"/>
      <w:shd w:val="clear" w:color="auto" w:fill="E1DFDD"/>
    </w:rPr>
  </w:style>
  <w:style w:type="paragraph" w:customStyle="1" w:styleId="242">
    <w:name w:val="表格正文"/>
    <w:link w:val="243"/>
    <w:qFormat/>
    <w:uiPriority w:val="4"/>
    <w:pPr>
      <w:spacing w:line="276" w:lineRule="auto"/>
      <w:jc w:val="center"/>
    </w:pPr>
    <w:rPr>
      <w:rFonts w:ascii="Calibri" w:hAnsi="Calibri" w:eastAsia="宋体" w:cs="Times New Roman"/>
      <w:kern w:val="2"/>
      <w:sz w:val="21"/>
      <w:szCs w:val="21"/>
      <w:lang w:val="en-US" w:eastAsia="zh-CN" w:bidi="ar-SA"/>
    </w:rPr>
  </w:style>
  <w:style w:type="character" w:customStyle="1" w:styleId="243">
    <w:name w:val="表格正文 Char"/>
    <w:link w:val="242"/>
    <w:qFormat/>
    <w:uiPriority w:val="4"/>
    <w:rPr>
      <w:rFonts w:ascii="Calibri" w:hAnsi="Calibri"/>
      <w:kern w:val="2"/>
      <w:sz w:val="21"/>
      <w:szCs w:val="21"/>
    </w:rPr>
  </w:style>
  <w:style w:type="paragraph" w:customStyle="1" w:styleId="244">
    <w:name w:val="表格"/>
    <w:basedOn w:val="1"/>
    <w:link w:val="245"/>
    <w:qFormat/>
    <w:uiPriority w:val="0"/>
    <w:pPr>
      <w:widowControl/>
      <w:jc w:val="left"/>
    </w:pPr>
    <w:rPr>
      <w:kern w:val="0"/>
      <w:szCs w:val="20"/>
      <w:lang w:val="zh-CN"/>
    </w:rPr>
  </w:style>
  <w:style w:type="character" w:customStyle="1" w:styleId="245">
    <w:name w:val="表格 Char Char"/>
    <w:link w:val="244"/>
    <w:qFormat/>
    <w:uiPriority w:val="0"/>
    <w:rPr>
      <w:sz w:val="21"/>
      <w:lang w:val="zh-CN" w:eastAsia="zh-CN"/>
    </w:rPr>
  </w:style>
  <w:style w:type="paragraph" w:styleId="246">
    <w:name w:val="Quote"/>
    <w:basedOn w:val="1"/>
    <w:next w:val="1"/>
    <w:link w:val="247"/>
    <w:qFormat/>
    <w:uiPriority w:val="2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247">
    <w:name w:val="引用 Char"/>
    <w:basedOn w:val="81"/>
    <w:link w:val="246"/>
    <w:qFormat/>
    <w:uiPriority w:val="29"/>
    <w:rPr>
      <w:i/>
      <w:iCs/>
      <w:color w:val="404040" w:themeColor="text1" w:themeTint="BF"/>
      <w:kern w:val="2"/>
      <w:sz w:val="21"/>
      <w:szCs w:val="24"/>
      <w14:textFill>
        <w14:solidFill>
          <w14:schemeClr w14:val="tx1">
            <w14:lumMod w14:val="75000"/>
            <w14:lumOff w14:val="25000"/>
          </w14:schemeClr>
        </w14:solidFill>
      </w14:textFill>
    </w:rPr>
  </w:style>
  <w:style w:type="character" w:customStyle="1" w:styleId="248">
    <w:name w:val="标题 3 Char2"/>
    <w:qFormat/>
    <w:uiPriority w:val="0"/>
    <w:rPr>
      <w:rFonts w:ascii="Arial" w:hAnsi="Arial"/>
      <w:b/>
      <w:bCs/>
      <w:kern w:val="2"/>
      <w:sz w:val="28"/>
      <w:szCs w:val="32"/>
    </w:rPr>
  </w:style>
  <w:style w:type="character" w:customStyle="1" w:styleId="249">
    <w:name w:val="标题 4 Char2"/>
    <w:qFormat/>
    <w:uiPriority w:val="9"/>
    <w:rPr>
      <w:rFonts w:ascii="Arial" w:hAnsi="Arial" w:cs="Arial"/>
      <w:b/>
      <w:bCs/>
      <w:color w:val="000000"/>
      <w:kern w:val="2"/>
      <w:sz w:val="24"/>
      <w:szCs w:val="24"/>
    </w:rPr>
  </w:style>
  <w:style w:type="character" w:customStyle="1" w:styleId="250">
    <w:name w:val="标题 5 Char1"/>
    <w:qFormat/>
    <w:uiPriority w:val="0"/>
    <w:rPr>
      <w:rFonts w:ascii="Arial" w:hAnsi="Arial"/>
      <w:b/>
      <w:bCs/>
      <w:kern w:val="2"/>
      <w:sz w:val="24"/>
      <w:szCs w:val="28"/>
    </w:rPr>
  </w:style>
  <w:style w:type="character" w:customStyle="1" w:styleId="251">
    <w:name w:val="列出段落 Char2"/>
    <w:qFormat/>
    <w:uiPriority w:val="34"/>
    <w:rPr>
      <w:rFonts w:ascii="宋体"/>
      <w:kern w:val="2"/>
      <w:sz w:val="24"/>
      <w:szCs w:val="24"/>
    </w:rPr>
  </w:style>
  <w:style w:type="paragraph" w:customStyle="1" w:styleId="252">
    <w:name w:val="默认段落字体 Para Char"/>
    <w:basedOn w:val="1"/>
    <w:qFormat/>
    <w:uiPriority w:val="0"/>
    <w:pPr>
      <w:tabs>
        <w:tab w:val="left" w:pos="720"/>
      </w:tabs>
      <w:ind w:left="720" w:hanging="720"/>
    </w:pPr>
  </w:style>
  <w:style w:type="paragraph" w:customStyle="1" w:styleId="253">
    <w:name w:val="font20"/>
    <w:basedOn w:val="1"/>
    <w:qFormat/>
    <w:uiPriority w:val="0"/>
    <w:pPr>
      <w:widowControl/>
      <w:spacing w:before="100" w:beforeAutospacing="1" w:after="100" w:afterAutospacing="1"/>
      <w:jc w:val="left"/>
    </w:pPr>
    <w:rPr>
      <w:rFonts w:hAnsi="宋体" w:cs="宋体"/>
      <w:b/>
      <w:bCs/>
      <w:kern w:val="0"/>
      <w:szCs w:val="21"/>
    </w:rPr>
  </w:style>
  <w:style w:type="paragraph" w:customStyle="1" w:styleId="254">
    <w:name w:val="font21"/>
    <w:basedOn w:val="1"/>
    <w:qFormat/>
    <w:uiPriority w:val="0"/>
    <w:pPr>
      <w:widowControl/>
      <w:spacing w:before="100" w:beforeAutospacing="1" w:after="100" w:afterAutospacing="1"/>
      <w:jc w:val="left"/>
    </w:pPr>
    <w:rPr>
      <w:rFonts w:hAnsi="宋体" w:cs="宋体"/>
      <w:kern w:val="0"/>
      <w:szCs w:val="21"/>
    </w:rPr>
  </w:style>
  <w:style w:type="paragraph" w:customStyle="1" w:styleId="255">
    <w:name w:val="font22"/>
    <w:basedOn w:val="1"/>
    <w:qFormat/>
    <w:uiPriority w:val="0"/>
    <w:pPr>
      <w:widowControl/>
      <w:spacing w:before="100" w:beforeAutospacing="1" w:after="100" w:afterAutospacing="1"/>
      <w:jc w:val="left"/>
    </w:pPr>
    <w:rPr>
      <w:rFonts w:hAnsi="宋体" w:cs="宋体"/>
      <w:kern w:val="0"/>
      <w:szCs w:val="21"/>
    </w:rPr>
  </w:style>
  <w:style w:type="paragraph" w:customStyle="1" w:styleId="256">
    <w:name w:val="font23"/>
    <w:basedOn w:val="1"/>
    <w:qFormat/>
    <w:uiPriority w:val="0"/>
    <w:pPr>
      <w:widowControl/>
      <w:spacing w:before="100" w:beforeAutospacing="1" w:after="100" w:afterAutospacing="1"/>
      <w:jc w:val="left"/>
    </w:pPr>
    <w:rPr>
      <w:rFonts w:hAnsi="宋体" w:cs="宋体"/>
      <w:kern w:val="0"/>
      <w:sz w:val="18"/>
      <w:szCs w:val="18"/>
    </w:rPr>
  </w:style>
  <w:style w:type="paragraph" w:customStyle="1" w:styleId="257">
    <w:name w:val="font24"/>
    <w:basedOn w:val="1"/>
    <w:qFormat/>
    <w:uiPriority w:val="0"/>
    <w:pPr>
      <w:widowControl/>
      <w:spacing w:before="100" w:beforeAutospacing="1" w:after="100" w:afterAutospacing="1"/>
      <w:jc w:val="left"/>
    </w:pPr>
    <w:rPr>
      <w:rFonts w:hAnsi="宋体" w:cs="宋体"/>
      <w:b/>
      <w:bCs/>
      <w:kern w:val="0"/>
      <w:szCs w:val="21"/>
    </w:rPr>
  </w:style>
  <w:style w:type="paragraph" w:customStyle="1" w:styleId="258">
    <w:name w:val="font25"/>
    <w:basedOn w:val="1"/>
    <w:qFormat/>
    <w:uiPriority w:val="0"/>
    <w:pPr>
      <w:widowControl/>
      <w:spacing w:before="100" w:beforeAutospacing="1" w:after="100" w:afterAutospacing="1"/>
      <w:jc w:val="left"/>
    </w:pPr>
    <w:rPr>
      <w:rFonts w:hAnsi="宋体" w:cs="宋体"/>
      <w:kern w:val="0"/>
      <w:szCs w:val="21"/>
    </w:rPr>
  </w:style>
  <w:style w:type="paragraph" w:customStyle="1" w:styleId="259">
    <w:name w:val="xl13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60">
    <w:name w:val="xl136"/>
    <w:basedOn w:val="1"/>
    <w:qFormat/>
    <w:uiPriority w:val="0"/>
    <w:pPr>
      <w:widowControl/>
      <w:pBdr>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61">
    <w:name w:val="xl137"/>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62">
    <w:name w:val="xl138"/>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63">
    <w:name w:val="xl13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64">
    <w:name w:val="xl140"/>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color w:val="000000"/>
      <w:kern w:val="0"/>
      <w:szCs w:val="21"/>
    </w:rPr>
  </w:style>
  <w:style w:type="paragraph" w:customStyle="1" w:styleId="265">
    <w:name w:val="xl141"/>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color w:val="000000"/>
      <w:kern w:val="0"/>
      <w:szCs w:val="21"/>
    </w:rPr>
  </w:style>
  <w:style w:type="paragraph" w:customStyle="1" w:styleId="266">
    <w:name w:val="xl142"/>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color w:val="000000"/>
      <w:kern w:val="0"/>
      <w:szCs w:val="21"/>
    </w:rPr>
  </w:style>
  <w:style w:type="character" w:customStyle="1" w:styleId="267">
    <w:name w:val="标题 9 Char1"/>
    <w:basedOn w:val="81"/>
    <w:qFormat/>
    <w:uiPriority w:val="0"/>
    <w:rPr>
      <w:rFonts w:ascii="宋体" w:hAnsi="宋体"/>
      <w:b/>
      <w:kern w:val="2"/>
      <w:sz w:val="24"/>
      <w:szCs w:val="21"/>
    </w:rPr>
  </w:style>
  <w:style w:type="paragraph" w:customStyle="1" w:styleId="268">
    <w:name w:val="font26"/>
    <w:basedOn w:val="1"/>
    <w:qFormat/>
    <w:uiPriority w:val="0"/>
    <w:pPr>
      <w:widowControl/>
      <w:spacing w:before="100" w:beforeAutospacing="1" w:after="100" w:afterAutospacing="1"/>
      <w:jc w:val="left"/>
    </w:pPr>
    <w:rPr>
      <w:rFonts w:hAnsi="宋体" w:cs="宋体"/>
      <w:kern w:val="0"/>
      <w:szCs w:val="21"/>
    </w:rPr>
  </w:style>
  <w:style w:type="paragraph" w:customStyle="1" w:styleId="269">
    <w:name w:val="font27"/>
    <w:basedOn w:val="1"/>
    <w:qFormat/>
    <w:uiPriority w:val="0"/>
    <w:pPr>
      <w:widowControl/>
      <w:spacing w:before="100" w:beforeAutospacing="1" w:after="100" w:afterAutospacing="1"/>
      <w:jc w:val="left"/>
    </w:pPr>
    <w:rPr>
      <w:rFonts w:hAnsi="宋体" w:cs="宋体"/>
      <w:kern w:val="0"/>
      <w:szCs w:val="21"/>
    </w:rPr>
  </w:style>
  <w:style w:type="character" w:customStyle="1" w:styleId="270">
    <w:name w:val="标题 9 字符1"/>
    <w:qFormat/>
    <w:uiPriority w:val="0"/>
    <w:rPr>
      <w:rFonts w:ascii="宋体" w:hAnsi="宋体"/>
      <w:b/>
      <w:kern w:val="2"/>
      <w:sz w:val="24"/>
      <w:szCs w:val="21"/>
      <w:lang w:val="zh-CN" w:eastAsia="zh-CN"/>
    </w:rPr>
  </w:style>
  <w:style w:type="character" w:customStyle="1" w:styleId="271">
    <w:name w:val="未处理的提及2"/>
    <w:basedOn w:val="81"/>
    <w:unhideWhenUsed/>
    <w:qFormat/>
    <w:uiPriority w:val="99"/>
    <w:rPr>
      <w:color w:val="605E5C"/>
      <w:shd w:val="clear" w:color="auto" w:fill="E1DFDD"/>
    </w:rPr>
  </w:style>
  <w:style w:type="paragraph" w:customStyle="1" w:styleId="272">
    <w:name w:val="msonormal"/>
    <w:basedOn w:val="1"/>
    <w:qFormat/>
    <w:uiPriority w:val="0"/>
    <w:pPr>
      <w:widowControl/>
      <w:spacing w:before="100" w:beforeAutospacing="1" w:after="100" w:afterAutospacing="1"/>
      <w:jc w:val="left"/>
    </w:pPr>
    <w:rPr>
      <w:rFonts w:hAnsi="宋体" w:cs="宋体"/>
      <w:kern w:val="0"/>
    </w:rPr>
  </w:style>
  <w:style w:type="paragraph" w:customStyle="1" w:styleId="273">
    <w:name w:val="xl14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74">
    <w:name w:val="xl144"/>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75">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76">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77">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278">
    <w:name w:val="xl148"/>
    <w:basedOn w:val="1"/>
    <w:qFormat/>
    <w:uiPriority w:val="0"/>
    <w:pPr>
      <w:widowControl/>
      <w:pBdr>
        <w:top w:val="single" w:color="auto" w:sz="4" w:space="0"/>
        <w:left w:val="single" w:color="auto" w:sz="4" w:space="0"/>
        <w:bottom w:val="single" w:color="auto" w:sz="4" w:space="0"/>
        <w:right w:val="double" w:color="auto" w:sz="6"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279">
    <w:name w:val="xl149"/>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280">
    <w:name w:val="xl1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81">
    <w:name w:val="xl151"/>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282">
    <w:name w:val="图片居中"/>
    <w:basedOn w:val="1"/>
    <w:link w:val="955"/>
    <w:qFormat/>
    <w:uiPriority w:val="0"/>
    <w:pPr>
      <w:spacing w:beforeLines="50" w:afterLines="50" w:line="360" w:lineRule="auto"/>
      <w:ind w:firstLine="480" w:firstLineChars="200"/>
      <w:jc w:val="center"/>
    </w:pPr>
    <w:rPr>
      <w:szCs w:val="22"/>
      <w:lang w:val="zh-CN"/>
    </w:rPr>
  </w:style>
  <w:style w:type="character" w:customStyle="1" w:styleId="283">
    <w:name w:val="标题 2 Char"/>
    <w:qFormat/>
    <w:uiPriority w:val="9"/>
    <w:rPr>
      <w:rFonts w:ascii="Arial" w:hAnsi="Arial"/>
      <w:b/>
      <w:bCs/>
      <w:kern w:val="2"/>
      <w:sz w:val="30"/>
      <w:szCs w:val="32"/>
    </w:rPr>
  </w:style>
  <w:style w:type="character" w:customStyle="1" w:styleId="284">
    <w:name w:val="标题 4 Char"/>
    <w:qFormat/>
    <w:uiPriority w:val="0"/>
    <w:rPr>
      <w:rFonts w:ascii="Arial" w:hAnsi="Arial" w:cs="Arial"/>
      <w:b/>
      <w:bCs/>
      <w:color w:val="000000"/>
      <w:kern w:val="2"/>
      <w:sz w:val="24"/>
      <w:szCs w:val="24"/>
    </w:rPr>
  </w:style>
  <w:style w:type="character" w:customStyle="1" w:styleId="285">
    <w:name w:val="页脚 Char"/>
    <w:qFormat/>
    <w:uiPriority w:val="99"/>
    <w:rPr>
      <w:kern w:val="2"/>
      <w:sz w:val="18"/>
      <w:szCs w:val="18"/>
    </w:rPr>
  </w:style>
  <w:style w:type="character" w:customStyle="1" w:styleId="286">
    <w:name w:val="标题 5 Char"/>
    <w:qFormat/>
    <w:uiPriority w:val="9"/>
    <w:rPr>
      <w:rFonts w:ascii="Arial" w:hAnsi="Arial"/>
      <w:b/>
      <w:bCs/>
      <w:kern w:val="2"/>
      <w:sz w:val="24"/>
      <w:szCs w:val="28"/>
    </w:rPr>
  </w:style>
  <w:style w:type="character" w:customStyle="1" w:styleId="287">
    <w:name w:val="标题 6 Char"/>
    <w:qFormat/>
    <w:uiPriority w:val="9"/>
    <w:rPr>
      <w:rFonts w:ascii="Arial" w:hAnsi="Arial"/>
      <w:b/>
      <w:bCs/>
      <w:kern w:val="2"/>
      <w:sz w:val="24"/>
      <w:szCs w:val="24"/>
    </w:rPr>
  </w:style>
  <w:style w:type="character" w:customStyle="1" w:styleId="288">
    <w:name w:val="标题 7 Char"/>
    <w:qFormat/>
    <w:uiPriority w:val="0"/>
    <w:rPr>
      <w:rFonts w:ascii="Arial" w:hAnsi="Arial" w:cs="Arial"/>
      <w:b/>
      <w:bCs/>
      <w:kern w:val="2"/>
      <w:sz w:val="32"/>
      <w:szCs w:val="32"/>
    </w:rPr>
  </w:style>
  <w:style w:type="character" w:customStyle="1" w:styleId="289">
    <w:name w:val="标题 8 Char"/>
    <w:qFormat/>
    <w:uiPriority w:val="0"/>
    <w:rPr>
      <w:rFonts w:ascii="宋体" w:hAnsi="宋体"/>
      <w:b/>
      <w:kern w:val="2"/>
      <w:sz w:val="24"/>
      <w:szCs w:val="21"/>
    </w:rPr>
  </w:style>
  <w:style w:type="character" w:customStyle="1" w:styleId="290">
    <w:name w:val="标题 9 Char"/>
    <w:qFormat/>
    <w:uiPriority w:val="0"/>
    <w:rPr>
      <w:rFonts w:ascii="宋体" w:hAnsi="宋体"/>
      <w:b/>
      <w:kern w:val="2"/>
      <w:sz w:val="24"/>
      <w:szCs w:val="21"/>
    </w:rPr>
  </w:style>
  <w:style w:type="character" w:customStyle="1" w:styleId="291">
    <w:name w:val="页眉 Char"/>
    <w:qFormat/>
    <w:uiPriority w:val="99"/>
    <w:rPr>
      <w:kern w:val="2"/>
      <w:sz w:val="18"/>
      <w:szCs w:val="18"/>
    </w:rPr>
  </w:style>
  <w:style w:type="paragraph" w:customStyle="1" w:styleId="292">
    <w:name w:val="无间隔1"/>
    <w:next w:val="293"/>
    <w:qFormat/>
    <w:uiPriority w:val="1"/>
    <w:rPr>
      <w:rFonts w:ascii="Calibri" w:hAnsi="Calibri" w:eastAsia="宋体" w:cs="Times New Roman"/>
      <w:sz w:val="22"/>
      <w:szCs w:val="21"/>
      <w:lang w:val="en-US" w:eastAsia="zh-CN" w:bidi="ar-SA"/>
    </w:rPr>
  </w:style>
  <w:style w:type="paragraph" w:styleId="293">
    <w:name w:val="No Spacing"/>
    <w:link w:val="631"/>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294">
    <w:name w:val="无间隔 Char"/>
    <w:qFormat/>
    <w:uiPriority w:val="1"/>
    <w:rPr>
      <w:kern w:val="0"/>
      <w:sz w:val="22"/>
    </w:rPr>
  </w:style>
  <w:style w:type="paragraph" w:customStyle="1" w:styleId="295">
    <w:name w:val="TOC 标题1"/>
    <w:basedOn w:val="3"/>
    <w:next w:val="1"/>
    <w:unhideWhenUsed/>
    <w:qFormat/>
    <w:uiPriority w:val="39"/>
    <w:pPr>
      <w:widowControl/>
      <w:tabs>
        <w:tab w:val="left" w:pos="1500"/>
      </w:tabs>
      <w:spacing w:before="240" w:line="259" w:lineRule="auto"/>
      <w:ind w:left="1500" w:hanging="1080"/>
      <w:jc w:val="left"/>
      <w:outlineLvl w:val="9"/>
    </w:pPr>
    <w:rPr>
      <w:rFonts w:ascii="Calibri Light" w:hAnsi="Calibri Light"/>
      <w:b w:val="0"/>
      <w:color w:val="2E74B5"/>
      <w:kern w:val="0"/>
      <w:sz w:val="32"/>
      <w:szCs w:val="32"/>
    </w:rPr>
  </w:style>
  <w:style w:type="paragraph" w:customStyle="1" w:styleId="296">
    <w:name w:val="标题 61"/>
    <w:basedOn w:val="1"/>
    <w:next w:val="1"/>
    <w:qFormat/>
    <w:uiPriority w:val="0"/>
    <w:pPr>
      <w:keepNext/>
      <w:keepLines/>
      <w:spacing w:before="120" w:after="120"/>
      <w:ind w:left="3260" w:hanging="1134"/>
      <w:outlineLvl w:val="5"/>
    </w:pPr>
    <w:rPr>
      <w:rFonts w:ascii="Arial" w:hAnsi="Arial"/>
      <w:b/>
      <w:bCs/>
      <w:color w:val="000000"/>
      <w:szCs w:val="21"/>
    </w:rPr>
  </w:style>
  <w:style w:type="character" w:customStyle="1" w:styleId="297">
    <w:name w:val="批注框文本 Char"/>
    <w:qFormat/>
    <w:uiPriority w:val="99"/>
    <w:rPr>
      <w:kern w:val="2"/>
      <w:sz w:val="18"/>
      <w:szCs w:val="18"/>
    </w:rPr>
  </w:style>
  <w:style w:type="character" w:customStyle="1" w:styleId="298">
    <w:name w:val="文档结构图 Char"/>
    <w:qFormat/>
    <w:uiPriority w:val="0"/>
    <w:rPr>
      <w:kern w:val="2"/>
      <w:sz w:val="21"/>
      <w:szCs w:val="24"/>
      <w:shd w:val="clear" w:color="auto" w:fill="000080"/>
    </w:rPr>
  </w:style>
  <w:style w:type="character" w:customStyle="1" w:styleId="299">
    <w:name w:val="z-窗体顶端 字符2"/>
    <w:link w:val="300"/>
    <w:qFormat/>
    <w:uiPriority w:val="99"/>
    <w:rPr>
      <w:rFonts w:ascii="Arial" w:hAnsi="Arial" w:cs="Arial"/>
      <w:vanish/>
      <w:sz w:val="16"/>
      <w:szCs w:val="16"/>
    </w:rPr>
  </w:style>
  <w:style w:type="paragraph" w:customStyle="1" w:styleId="300">
    <w:name w:val="z-窗体顶端2"/>
    <w:basedOn w:val="1"/>
    <w:next w:val="1"/>
    <w:link w:val="299"/>
    <w:qFormat/>
    <w:uiPriority w:val="0"/>
    <w:pPr>
      <w:widowControl/>
      <w:pBdr>
        <w:bottom w:val="single" w:color="auto" w:sz="6" w:space="1"/>
      </w:pBdr>
      <w:jc w:val="center"/>
    </w:pPr>
    <w:rPr>
      <w:rFonts w:ascii="Arial" w:hAnsi="Arial" w:cs="Arial"/>
      <w:vanish/>
      <w:kern w:val="0"/>
      <w:sz w:val="16"/>
      <w:szCs w:val="16"/>
    </w:rPr>
  </w:style>
  <w:style w:type="character" w:customStyle="1" w:styleId="301">
    <w:name w:val="z-窗体底端 字符2"/>
    <w:link w:val="302"/>
    <w:qFormat/>
    <w:uiPriority w:val="99"/>
    <w:rPr>
      <w:rFonts w:ascii="Arial" w:hAnsi="Arial" w:cs="Arial"/>
      <w:vanish/>
      <w:sz w:val="16"/>
      <w:szCs w:val="16"/>
    </w:rPr>
  </w:style>
  <w:style w:type="paragraph" w:customStyle="1" w:styleId="302">
    <w:name w:val="z-窗体底端2"/>
    <w:basedOn w:val="1"/>
    <w:next w:val="1"/>
    <w:link w:val="301"/>
    <w:qFormat/>
    <w:uiPriority w:val="0"/>
    <w:pPr>
      <w:widowControl/>
      <w:pBdr>
        <w:top w:val="single" w:color="auto" w:sz="6" w:space="1"/>
      </w:pBdr>
      <w:jc w:val="center"/>
    </w:pPr>
    <w:rPr>
      <w:rFonts w:ascii="Arial" w:hAnsi="Arial" w:cs="Arial"/>
      <w:vanish/>
      <w:kern w:val="0"/>
      <w:sz w:val="16"/>
      <w:szCs w:val="16"/>
    </w:rPr>
  </w:style>
  <w:style w:type="character" w:customStyle="1" w:styleId="303">
    <w:name w:val="批注文字 Char"/>
    <w:qFormat/>
    <w:uiPriority w:val="99"/>
    <w:rPr>
      <w:kern w:val="2"/>
      <w:sz w:val="21"/>
      <w:szCs w:val="24"/>
    </w:rPr>
  </w:style>
  <w:style w:type="character" w:customStyle="1" w:styleId="304">
    <w:name w:val="批注主题 Char"/>
    <w:qFormat/>
    <w:uiPriority w:val="0"/>
    <w:rPr>
      <w:b/>
      <w:bCs/>
      <w:kern w:val="2"/>
      <w:sz w:val="21"/>
      <w:szCs w:val="24"/>
    </w:rPr>
  </w:style>
  <w:style w:type="character" w:customStyle="1" w:styleId="305">
    <w:name w:val="宏文本 Char"/>
    <w:semiHidden/>
    <w:qFormat/>
    <w:uiPriority w:val="0"/>
    <w:rPr>
      <w:rFonts w:ascii="Courier New" w:hAnsi="Courier New" w:cs="Courier New"/>
      <w:kern w:val="2"/>
      <w:sz w:val="24"/>
      <w:szCs w:val="24"/>
    </w:rPr>
  </w:style>
  <w:style w:type="character" w:customStyle="1" w:styleId="306">
    <w:name w:val="脚注文本 Char"/>
    <w:qFormat/>
    <w:uiPriority w:val="99"/>
    <w:rPr>
      <w:kern w:val="2"/>
      <w:sz w:val="18"/>
      <w:szCs w:val="18"/>
    </w:rPr>
  </w:style>
  <w:style w:type="character" w:customStyle="1" w:styleId="307">
    <w:name w:val="尾注文本 Char"/>
    <w:semiHidden/>
    <w:qFormat/>
    <w:uiPriority w:val="99"/>
    <w:rPr>
      <w:kern w:val="2"/>
      <w:sz w:val="21"/>
      <w:szCs w:val="24"/>
    </w:rPr>
  </w:style>
  <w:style w:type="paragraph" w:customStyle="1" w:styleId="308">
    <w:name w:val="正文文本1"/>
    <w:basedOn w:val="1"/>
    <w:next w:val="31"/>
    <w:link w:val="309"/>
    <w:unhideWhenUsed/>
    <w:qFormat/>
    <w:uiPriority w:val="0"/>
    <w:pPr>
      <w:spacing w:after="120"/>
    </w:pPr>
    <w:rPr>
      <w:kern w:val="0"/>
      <w:sz w:val="20"/>
      <w:szCs w:val="20"/>
    </w:rPr>
  </w:style>
  <w:style w:type="character" w:customStyle="1" w:styleId="309">
    <w:name w:val="正文文本 Char"/>
    <w:link w:val="308"/>
    <w:qFormat/>
    <w:uiPriority w:val="0"/>
  </w:style>
  <w:style w:type="paragraph" w:customStyle="1" w:styleId="310">
    <w:name w:val="正文首行缩进1"/>
    <w:basedOn w:val="1"/>
    <w:next w:val="73"/>
    <w:link w:val="311"/>
    <w:unhideWhenUsed/>
    <w:qFormat/>
    <w:uiPriority w:val="0"/>
    <w:pPr>
      <w:spacing w:after="120"/>
      <w:ind w:firstLine="420" w:firstLineChars="100"/>
    </w:pPr>
    <w:rPr>
      <w:kern w:val="0"/>
      <w:szCs w:val="20"/>
    </w:rPr>
  </w:style>
  <w:style w:type="character" w:customStyle="1" w:styleId="311">
    <w:name w:val="正文首行缩进 Char"/>
    <w:link w:val="310"/>
    <w:qFormat/>
    <w:uiPriority w:val="0"/>
    <w:rPr>
      <w:rFonts w:ascii="宋体"/>
      <w:sz w:val="24"/>
    </w:rPr>
  </w:style>
  <w:style w:type="paragraph" w:customStyle="1" w:styleId="312">
    <w:name w:val="标题1"/>
    <w:basedOn w:val="1"/>
    <w:next w:val="71"/>
    <w:link w:val="313"/>
    <w:qFormat/>
    <w:uiPriority w:val="99"/>
    <w:pPr>
      <w:spacing w:before="240" w:after="60"/>
      <w:jc w:val="center"/>
      <w:outlineLvl w:val="0"/>
    </w:pPr>
    <w:rPr>
      <w:rFonts w:ascii="Arial" w:hAnsi="Arial" w:cs="Arial"/>
      <w:b/>
      <w:bCs/>
      <w:kern w:val="0"/>
      <w:sz w:val="32"/>
      <w:szCs w:val="32"/>
    </w:rPr>
  </w:style>
  <w:style w:type="character" w:customStyle="1" w:styleId="313">
    <w:name w:val="标题 Char"/>
    <w:link w:val="312"/>
    <w:qFormat/>
    <w:uiPriority w:val="0"/>
    <w:rPr>
      <w:rFonts w:ascii="Arial" w:hAnsi="Arial" w:cs="Arial"/>
      <w:b/>
      <w:bCs/>
      <w:sz w:val="32"/>
      <w:szCs w:val="32"/>
    </w:rPr>
  </w:style>
  <w:style w:type="character" w:customStyle="1" w:styleId="314">
    <w:name w:val="访问过的超链接1"/>
    <w:unhideWhenUsed/>
    <w:qFormat/>
    <w:uiPriority w:val="99"/>
    <w:rPr>
      <w:color w:val="800080"/>
      <w:u w:val="single"/>
    </w:rPr>
  </w:style>
  <w:style w:type="paragraph" w:customStyle="1" w:styleId="315">
    <w:name w:val="普通(网站)1"/>
    <w:basedOn w:val="1"/>
    <w:next w:val="69"/>
    <w:unhideWhenUsed/>
    <w:qFormat/>
    <w:uiPriority w:val="99"/>
    <w:pPr>
      <w:widowControl/>
      <w:spacing w:before="100" w:beforeAutospacing="1" w:after="100" w:afterAutospacing="1"/>
      <w:jc w:val="left"/>
    </w:pPr>
    <w:rPr>
      <w:rFonts w:hAnsi="宋体" w:cs="宋体"/>
      <w:kern w:val="0"/>
      <w:szCs w:val="21"/>
    </w:rPr>
  </w:style>
  <w:style w:type="character" w:customStyle="1" w:styleId="316">
    <w:name w:val="列出段落 Char"/>
    <w:qFormat/>
    <w:uiPriority w:val="34"/>
    <w:rPr>
      <w:kern w:val="2"/>
      <w:sz w:val="21"/>
      <w:szCs w:val="24"/>
    </w:rPr>
  </w:style>
  <w:style w:type="paragraph" w:customStyle="1" w:styleId="317">
    <w:name w:val="?1"/>
    <w:basedOn w:val="1"/>
    <w:next w:val="20"/>
    <w:link w:val="318"/>
    <w:qFormat/>
    <w:uiPriority w:val="0"/>
    <w:pPr>
      <w:widowControl/>
      <w:spacing w:afterLines="140" w:line="288" w:lineRule="auto"/>
      <w:ind w:firstLine="420"/>
      <w:jc w:val="left"/>
    </w:pPr>
    <w:rPr>
      <w:kern w:val="0"/>
      <w:szCs w:val="20"/>
    </w:rPr>
  </w:style>
  <w:style w:type="character" w:customStyle="1" w:styleId="318">
    <w:name w:val="正文缩进 Char1"/>
    <w:link w:val="317"/>
    <w:qFormat/>
    <w:uiPriority w:val="0"/>
    <w:rPr>
      <w:rFonts w:ascii="宋体"/>
      <w:sz w:val="24"/>
    </w:rPr>
  </w:style>
  <w:style w:type="paragraph" w:customStyle="1" w:styleId="319">
    <w:name w:val="H2a"/>
    <w:basedOn w:val="5"/>
    <w:qFormat/>
    <w:uiPriority w:val="0"/>
    <w:pPr>
      <w:keepNext w:val="0"/>
      <w:keepLines w:val="0"/>
      <w:numPr>
        <w:ilvl w:val="3"/>
        <w:numId w:val="7"/>
      </w:numPr>
      <w:tabs>
        <w:tab w:val="left" w:pos="1680"/>
      </w:tabs>
      <w:spacing w:before="100" w:beforeAutospacing="1" w:after="100" w:afterAutospacing="1" w:line="360" w:lineRule="auto"/>
      <w:ind w:left="1680" w:hanging="420"/>
    </w:pPr>
    <w:rPr>
      <w:rFonts w:ascii="Calibri" w:hAnsi="Calibri"/>
      <w:bCs w:val="0"/>
      <w:sz w:val="24"/>
      <w:szCs w:val="20"/>
    </w:rPr>
  </w:style>
  <w:style w:type="paragraph" w:customStyle="1" w:styleId="320">
    <w:name w:val="标准"/>
    <w:basedOn w:val="1"/>
    <w:qFormat/>
    <w:uiPriority w:val="99"/>
    <w:pPr>
      <w:overflowPunct w:val="0"/>
      <w:autoSpaceDE w:val="0"/>
      <w:autoSpaceDN w:val="0"/>
      <w:adjustRightInd w:val="0"/>
      <w:spacing w:line="240" w:lineRule="atLeast"/>
    </w:pPr>
    <w:rPr>
      <w:rFonts w:hAnsi="Calibri" w:eastAsia="楷体_GB2312"/>
      <w:kern w:val="0"/>
      <w:szCs w:val="20"/>
    </w:rPr>
  </w:style>
  <w:style w:type="paragraph" w:customStyle="1" w:styleId="321">
    <w:name w:val="Style1"/>
    <w:basedOn w:val="3"/>
    <w:qFormat/>
    <w:uiPriority w:val="99"/>
    <w:pPr>
      <w:keepNext w:val="0"/>
      <w:tabs>
        <w:tab w:val="left" w:pos="425"/>
        <w:tab w:val="left" w:pos="1500"/>
      </w:tabs>
      <w:spacing w:before="240" w:beforeLines="50" w:after="240" w:afterLines="50" w:line="360" w:lineRule="auto"/>
      <w:ind w:left="1500" w:hanging="1080"/>
      <w:jc w:val="center"/>
      <w:outlineLvl w:val="9"/>
    </w:pPr>
    <w:rPr>
      <w:rFonts w:ascii="宋体" w:hAnsi="宋体"/>
      <w:b w:val="0"/>
      <w:bCs/>
      <w:smallCaps/>
      <w:color w:val="000000"/>
      <w:spacing w:val="20"/>
      <w:kern w:val="24"/>
      <w:szCs w:val="20"/>
      <w:lang w:val="zh-CN"/>
    </w:rPr>
  </w:style>
  <w:style w:type="paragraph" w:customStyle="1" w:styleId="322">
    <w:name w:val="修订1"/>
    <w:next w:val="323"/>
    <w:hidden/>
    <w:qFormat/>
    <w:uiPriority w:val="99"/>
    <w:rPr>
      <w:rFonts w:ascii="Arial" w:hAnsi="Arial" w:eastAsia="宋体" w:cs="Times New Roman"/>
      <w:kern w:val="2"/>
      <w:sz w:val="24"/>
      <w:szCs w:val="21"/>
      <w:lang w:val="en-US" w:eastAsia="zh-CN" w:bidi="ar-SA"/>
    </w:rPr>
  </w:style>
  <w:style w:type="paragraph" w:customStyle="1" w:styleId="323">
    <w:name w:val="修订2"/>
    <w:hidden/>
    <w:qFormat/>
    <w:uiPriority w:val="99"/>
    <w:rPr>
      <w:rFonts w:ascii="Times New Roman" w:hAnsi="Times New Roman" w:eastAsia="宋体" w:cs="Times New Roman"/>
      <w:kern w:val="2"/>
      <w:sz w:val="21"/>
      <w:szCs w:val="24"/>
      <w:lang w:val="en-US" w:eastAsia="zh-CN" w:bidi="ar-SA"/>
    </w:rPr>
  </w:style>
  <w:style w:type="paragraph" w:customStyle="1" w:styleId="324">
    <w:name w:val="彩色底纹 - 强调文字颜色 11"/>
    <w:hidden/>
    <w:semiHidden/>
    <w:qFormat/>
    <w:uiPriority w:val="99"/>
    <w:rPr>
      <w:rFonts w:ascii="等线" w:hAnsi="等线" w:eastAsia="宋体" w:cs="Times New Roman"/>
      <w:kern w:val="2"/>
      <w:sz w:val="24"/>
      <w:szCs w:val="24"/>
      <w:lang w:val="en-US" w:eastAsia="zh-CN" w:bidi="ar-SA"/>
    </w:rPr>
  </w:style>
  <w:style w:type="paragraph" w:customStyle="1" w:styleId="325">
    <w:name w:val="彩色底纹 - 着色 11"/>
    <w:hidden/>
    <w:semiHidden/>
    <w:qFormat/>
    <w:uiPriority w:val="99"/>
    <w:rPr>
      <w:rFonts w:ascii="等线" w:hAnsi="等线" w:eastAsia="宋体" w:cs="Times New Roman"/>
      <w:kern w:val="2"/>
      <w:sz w:val="24"/>
      <w:szCs w:val="24"/>
      <w:lang w:val="en-US" w:eastAsia="zh-CN" w:bidi="ar-SA"/>
    </w:rPr>
  </w:style>
  <w:style w:type="paragraph" w:customStyle="1" w:styleId="326">
    <w:name w:val="Revision1"/>
    <w:hidden/>
    <w:qFormat/>
    <w:uiPriority w:val="99"/>
    <w:rPr>
      <w:rFonts w:ascii="Times New Roman" w:hAnsi="Times New Roman" w:eastAsia="宋体" w:cs="Times New Roman"/>
      <w:kern w:val="2"/>
      <w:sz w:val="21"/>
      <w:szCs w:val="24"/>
      <w:lang w:val="en-US" w:eastAsia="zh-CN" w:bidi="ar-SA"/>
    </w:rPr>
  </w:style>
  <w:style w:type="paragraph" w:customStyle="1" w:styleId="327">
    <w:name w:val="Table Heading"/>
    <w:basedOn w:val="1"/>
    <w:link w:val="630"/>
    <w:qFormat/>
    <w:uiPriority w:val="0"/>
    <w:pPr>
      <w:topLinePunct/>
      <w:adjustRightInd w:val="0"/>
      <w:snapToGrid w:val="0"/>
      <w:spacing w:before="80" w:after="80" w:line="240" w:lineRule="atLeast"/>
      <w:jc w:val="left"/>
    </w:pPr>
    <w:rPr>
      <w:rFonts w:hint="eastAsia" w:ascii="Book Antiqua" w:hAnsi="Book Antiqua" w:eastAsia="黑体" w:cs="Book Antiqua"/>
      <w:bCs/>
      <w:snapToGrid w:val="0"/>
      <w:kern w:val="0"/>
      <w:szCs w:val="21"/>
    </w:rPr>
  </w:style>
  <w:style w:type="paragraph" w:customStyle="1" w:styleId="328">
    <w:name w:val="表格-中"/>
    <w:basedOn w:val="1"/>
    <w:link w:val="329"/>
    <w:qFormat/>
    <w:uiPriority w:val="0"/>
    <w:pPr>
      <w:widowControl/>
      <w:spacing w:before="156" w:beforeLines="50" w:after="156" w:afterLines="50"/>
      <w:jc w:val="center"/>
    </w:pPr>
    <w:rPr>
      <w:rFonts w:hAnsi="宋体" w:cs="宋体"/>
      <w:color w:val="000000"/>
      <w:kern w:val="0"/>
      <w:szCs w:val="21"/>
    </w:rPr>
  </w:style>
  <w:style w:type="character" w:customStyle="1" w:styleId="329">
    <w:name w:val="表格-中 Char"/>
    <w:link w:val="328"/>
    <w:qFormat/>
    <w:uiPriority w:val="0"/>
    <w:rPr>
      <w:rFonts w:ascii="宋体" w:hAnsi="宋体" w:cs="宋体"/>
      <w:color w:val="000000"/>
      <w:sz w:val="21"/>
      <w:szCs w:val="21"/>
    </w:rPr>
  </w:style>
  <w:style w:type="character" w:customStyle="1" w:styleId="330">
    <w:name w:val="最终正文格式 Char"/>
    <w:link w:val="331"/>
    <w:qFormat/>
    <w:locked/>
    <w:uiPriority w:val="0"/>
    <w:rPr>
      <w:rFonts w:ascii="Arial" w:hAnsi="Arial" w:cs="Arial"/>
    </w:rPr>
  </w:style>
  <w:style w:type="paragraph" w:customStyle="1" w:styleId="331">
    <w:name w:val="最终正文格式"/>
    <w:basedOn w:val="31"/>
    <w:link w:val="330"/>
    <w:qFormat/>
    <w:uiPriority w:val="0"/>
    <w:pPr>
      <w:widowControl/>
      <w:ind w:left="315" w:leftChars="315"/>
    </w:pPr>
    <w:rPr>
      <w:rFonts w:ascii="Arial" w:hAnsi="Arial" w:cs="Arial"/>
      <w:kern w:val="0"/>
      <w:sz w:val="20"/>
      <w:szCs w:val="20"/>
    </w:rPr>
  </w:style>
  <w:style w:type="table" w:customStyle="1" w:styleId="332">
    <w:name w:val="Table"/>
    <w:basedOn w:val="80"/>
    <w:qFormat/>
    <w:uiPriority w:val="0"/>
    <w:pPr>
      <w:widowControl/>
      <w:jc w:val="left"/>
    </w:pPr>
    <w:rPr>
      <w:rFonts w:cs="Arial"/>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rPr>
      <w:cantSplit/>
    </w:trPr>
    <w:tcPr>
      <w:shd w:val="clear" w:color="auto" w:fill="auto"/>
    </w:tc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character" w:customStyle="1" w:styleId="333">
    <w:name w:val="列表段落 字符1"/>
    <w:qFormat/>
    <w:uiPriority w:val="34"/>
    <w:rPr>
      <w:rFonts w:ascii="宋体"/>
      <w:kern w:val="24"/>
      <w:sz w:val="24"/>
      <w:szCs w:val="22"/>
    </w:rPr>
  </w:style>
  <w:style w:type="character" w:customStyle="1" w:styleId="334">
    <w:name w:val="标题 6 Char1"/>
    <w:qFormat/>
    <w:uiPriority w:val="9"/>
    <w:rPr>
      <w:rFonts w:ascii="Calibri Light" w:hAnsi="Calibri Light" w:eastAsia="宋体" w:cs="Times New Roman"/>
      <w:b/>
      <w:bCs/>
      <w:sz w:val="24"/>
      <w:szCs w:val="24"/>
    </w:rPr>
  </w:style>
  <w:style w:type="character" w:customStyle="1" w:styleId="335">
    <w:name w:val="访问过的超链接2"/>
    <w:semiHidden/>
    <w:unhideWhenUsed/>
    <w:qFormat/>
    <w:uiPriority w:val="99"/>
    <w:rPr>
      <w:color w:val="954F72"/>
      <w:u w:val="single"/>
    </w:rPr>
  </w:style>
  <w:style w:type="paragraph" w:customStyle="1" w:styleId="336">
    <w:name w:val="题注1"/>
    <w:basedOn w:val="1"/>
    <w:next w:val="1"/>
    <w:unhideWhenUsed/>
    <w:qFormat/>
    <w:uiPriority w:val="99"/>
    <w:pPr>
      <w:jc w:val="center"/>
    </w:pPr>
    <w:rPr>
      <w:szCs w:val="20"/>
    </w:rPr>
  </w:style>
  <w:style w:type="paragraph" w:customStyle="1" w:styleId="337">
    <w:name w:val="自创标题1"/>
    <w:basedOn w:val="1"/>
    <w:qFormat/>
    <w:uiPriority w:val="0"/>
    <w:pPr>
      <w:numPr>
        <w:ilvl w:val="0"/>
        <w:numId w:val="8"/>
      </w:numPr>
      <w:tabs>
        <w:tab w:val="left" w:pos="1702"/>
      </w:tabs>
      <w:ind w:left="1702" w:hanging="720"/>
    </w:pPr>
    <w:rPr>
      <w:rFonts w:ascii="Calibri" w:hAnsi="Calibri"/>
      <w:szCs w:val="21"/>
    </w:rPr>
  </w:style>
  <w:style w:type="paragraph" w:customStyle="1" w:styleId="338">
    <w:name w:val="自创标题2"/>
    <w:basedOn w:val="1"/>
    <w:qFormat/>
    <w:uiPriority w:val="0"/>
    <w:pPr>
      <w:numPr>
        <w:ilvl w:val="1"/>
        <w:numId w:val="8"/>
      </w:numPr>
      <w:tabs>
        <w:tab w:val="left" w:pos="1342"/>
      </w:tabs>
      <w:ind w:left="1342" w:hanging="360"/>
    </w:pPr>
    <w:rPr>
      <w:rFonts w:ascii="Calibri" w:hAnsi="Calibri"/>
      <w:szCs w:val="21"/>
    </w:rPr>
  </w:style>
  <w:style w:type="paragraph" w:customStyle="1" w:styleId="339">
    <w:name w:val="自创标题3"/>
    <w:basedOn w:val="1"/>
    <w:qFormat/>
    <w:uiPriority w:val="0"/>
    <w:pPr>
      <w:numPr>
        <w:ilvl w:val="2"/>
        <w:numId w:val="8"/>
      </w:numPr>
      <w:tabs>
        <w:tab w:val="left" w:pos="1822"/>
      </w:tabs>
      <w:ind w:left="1822" w:hanging="420"/>
    </w:pPr>
    <w:rPr>
      <w:rFonts w:ascii="Calibri" w:hAnsi="Calibri"/>
      <w:szCs w:val="21"/>
    </w:rPr>
  </w:style>
  <w:style w:type="paragraph" w:customStyle="1" w:styleId="340">
    <w:name w:val="自创标题4"/>
    <w:basedOn w:val="1"/>
    <w:qFormat/>
    <w:uiPriority w:val="0"/>
    <w:pPr>
      <w:numPr>
        <w:ilvl w:val="3"/>
        <w:numId w:val="8"/>
      </w:numPr>
      <w:tabs>
        <w:tab w:val="left" w:pos="2242"/>
      </w:tabs>
      <w:ind w:left="2242" w:hanging="420"/>
    </w:pPr>
    <w:rPr>
      <w:rFonts w:ascii="Calibri" w:hAnsi="Calibri"/>
      <w:szCs w:val="21"/>
    </w:rPr>
  </w:style>
  <w:style w:type="paragraph" w:customStyle="1" w:styleId="341">
    <w:name w:val="自创标题5"/>
    <w:basedOn w:val="1"/>
    <w:qFormat/>
    <w:uiPriority w:val="0"/>
    <w:pPr>
      <w:tabs>
        <w:tab w:val="left" w:pos="2662"/>
      </w:tabs>
      <w:ind w:left="2662" w:hanging="420"/>
    </w:pPr>
    <w:rPr>
      <w:rFonts w:ascii="Calibri" w:hAnsi="Calibri"/>
      <w:szCs w:val="21"/>
    </w:rPr>
  </w:style>
  <w:style w:type="paragraph" w:customStyle="1" w:styleId="342">
    <w:name w:val="正文文本缩进1"/>
    <w:basedOn w:val="1"/>
    <w:next w:val="32"/>
    <w:link w:val="343"/>
    <w:qFormat/>
    <w:uiPriority w:val="99"/>
    <w:pPr>
      <w:ind w:left="420"/>
    </w:pPr>
    <w:rPr>
      <w:kern w:val="0"/>
      <w:sz w:val="20"/>
    </w:rPr>
  </w:style>
  <w:style w:type="character" w:customStyle="1" w:styleId="343">
    <w:name w:val="正文文本缩进 Char"/>
    <w:link w:val="342"/>
    <w:qFormat/>
    <w:uiPriority w:val="0"/>
    <w:rPr>
      <w:szCs w:val="24"/>
    </w:rPr>
  </w:style>
  <w:style w:type="paragraph" w:customStyle="1" w:styleId="344">
    <w:name w:val="正文缩进1"/>
    <w:basedOn w:val="1"/>
    <w:qFormat/>
    <w:uiPriority w:val="0"/>
    <w:pPr>
      <w:ind w:firstLine="420" w:firstLineChars="200"/>
    </w:pPr>
    <w:rPr>
      <w:rFonts w:ascii="Calibri" w:hAnsi="Calibri"/>
    </w:rPr>
  </w:style>
  <w:style w:type="paragraph" w:customStyle="1" w:styleId="345">
    <w:name w:val="Heading Left"/>
    <w:basedOn w:val="1"/>
    <w:qFormat/>
    <w:uiPriority w:val="0"/>
    <w:rPr>
      <w:rFonts w:ascii="Calibri" w:hAnsi="Calibri"/>
      <w:sz w:val="20"/>
      <w:szCs w:val="20"/>
    </w:rPr>
  </w:style>
  <w:style w:type="paragraph" w:customStyle="1" w:styleId="346">
    <w:name w:val="Figure Description"/>
    <w:next w:val="20"/>
    <w:qFormat/>
    <w:uiPriority w:val="0"/>
    <w:pPr>
      <w:keepNext/>
      <w:numPr>
        <w:ilvl w:val="7"/>
        <w:numId w:val="9"/>
      </w:numPr>
      <w:adjustRightInd w:val="0"/>
      <w:snapToGrid w:val="0"/>
      <w:spacing w:before="320" w:after="80" w:line="240" w:lineRule="atLeast"/>
    </w:pPr>
    <w:rPr>
      <w:rFonts w:ascii="Times New Roman" w:hAnsi="Times New Roman" w:eastAsia="黑体" w:cs="Times New Roman"/>
      <w:spacing w:val="-4"/>
      <w:kern w:val="2"/>
      <w:sz w:val="21"/>
      <w:szCs w:val="21"/>
      <w:lang w:val="en-US" w:eastAsia="zh-CN" w:bidi="ar-SA"/>
    </w:rPr>
  </w:style>
  <w:style w:type="paragraph" w:customStyle="1" w:styleId="347">
    <w:name w:val="Table Description"/>
    <w:basedOn w:val="1"/>
    <w:next w:val="1"/>
    <w:qFormat/>
    <w:uiPriority w:val="0"/>
    <w:pPr>
      <w:keepNext/>
      <w:numPr>
        <w:ilvl w:val="8"/>
        <w:numId w:val="9"/>
      </w:numPr>
      <w:tabs>
        <w:tab w:val="left" w:pos="3780"/>
      </w:tabs>
      <w:spacing w:before="320" w:after="80"/>
      <w:ind w:left="5102" w:hanging="1700"/>
    </w:pPr>
    <w:rPr>
      <w:rFonts w:ascii="Calibri" w:hAnsi="Calibri" w:eastAsia="黑体"/>
      <w:spacing w:val="-4"/>
    </w:rPr>
  </w:style>
  <w:style w:type="paragraph" w:customStyle="1" w:styleId="348">
    <w:name w:val="Notes Text"/>
    <w:basedOn w:val="349"/>
    <w:qFormat/>
    <w:uiPriority w:val="0"/>
    <w:pPr>
      <w:pBdr>
        <w:bottom w:val="none" w:color="auto" w:sz="0" w:space="0"/>
      </w:pBdr>
      <w:spacing w:before="40" w:line="200" w:lineRule="atLeast"/>
      <w:ind w:left="2075"/>
    </w:pPr>
    <w:rPr>
      <w:sz w:val="18"/>
      <w:szCs w:val="18"/>
    </w:rPr>
  </w:style>
  <w:style w:type="paragraph" w:customStyle="1" w:styleId="349">
    <w:name w:val="CAUTION Text"/>
    <w:basedOn w:val="1"/>
    <w:qFormat/>
    <w:uiPriority w:val="0"/>
    <w:pPr>
      <w:keepLines/>
      <w:pBdr>
        <w:bottom w:val="single" w:color="auto" w:sz="12" w:space="4"/>
      </w:pBdr>
      <w:spacing w:before="80" w:after="80"/>
    </w:pPr>
    <w:rPr>
      <w:rFonts w:ascii="Calibri" w:hAnsi="Calibri" w:eastAsia="楷体_GB2312"/>
      <w:iCs/>
    </w:rPr>
  </w:style>
  <w:style w:type="paragraph" w:customStyle="1" w:styleId="350">
    <w:name w:val="Item List"/>
    <w:link w:val="1271"/>
    <w:qFormat/>
    <w:uiPriority w:val="0"/>
    <w:pPr>
      <w:numPr>
        <w:ilvl w:val="0"/>
        <w:numId w:val="10"/>
      </w:numPr>
      <w:adjustRightInd w:val="0"/>
      <w:snapToGrid w:val="0"/>
      <w:spacing w:before="80" w:after="80" w:line="240" w:lineRule="atLeast"/>
    </w:pPr>
    <w:rPr>
      <w:rFonts w:ascii="Times New Roman" w:hAnsi="Times New Roman" w:eastAsia="宋体" w:cs="Times New Roman"/>
      <w:kern w:val="2"/>
      <w:sz w:val="21"/>
      <w:szCs w:val="21"/>
      <w:lang w:val="en-US" w:eastAsia="zh-CN" w:bidi="ar-SA"/>
    </w:rPr>
  </w:style>
  <w:style w:type="paragraph" w:customStyle="1" w:styleId="351">
    <w:name w:val="Item List in Table"/>
    <w:basedOn w:val="1"/>
    <w:link w:val="1215"/>
    <w:qFormat/>
    <w:uiPriority w:val="0"/>
    <w:pPr>
      <w:numPr>
        <w:ilvl w:val="0"/>
        <w:numId w:val="11"/>
      </w:numPr>
      <w:tabs>
        <w:tab w:val="left" w:pos="1500"/>
      </w:tabs>
      <w:spacing w:before="80" w:after="80"/>
    </w:pPr>
    <w:rPr>
      <w:rFonts w:ascii="Calibri" w:hAnsi="Calibri"/>
      <w:kern w:val="0"/>
    </w:rPr>
  </w:style>
  <w:style w:type="paragraph" w:customStyle="1" w:styleId="352">
    <w:name w:val="Block Label"/>
    <w:basedOn w:val="296"/>
    <w:next w:val="1"/>
    <w:qFormat/>
    <w:uiPriority w:val="0"/>
    <w:pPr>
      <w:numPr>
        <w:ilvl w:val="3"/>
        <w:numId w:val="9"/>
      </w:numPr>
      <w:spacing w:before="300" w:after="80"/>
      <w:outlineLvl w:val="3"/>
    </w:pPr>
    <w:rPr>
      <w:rFonts w:ascii="Book Antiqua" w:hAnsi="Book Antiqua" w:eastAsia="Times New Roman"/>
      <w:bCs w:val="0"/>
      <w:kern w:val="0"/>
      <w:sz w:val="21"/>
      <w:szCs w:val="26"/>
    </w:rPr>
  </w:style>
  <w:style w:type="paragraph" w:customStyle="1" w:styleId="353">
    <w:name w:val="Notes Heading in Table"/>
    <w:next w:val="354"/>
    <w:qFormat/>
    <w:uiPriority w:val="0"/>
    <w:pPr>
      <w:keepNext/>
      <w:adjustRightInd w:val="0"/>
      <w:snapToGrid w:val="0"/>
      <w:spacing w:before="80" w:after="40" w:line="240" w:lineRule="atLeast"/>
    </w:pPr>
    <w:rPr>
      <w:rFonts w:ascii="Times New Roman" w:hAnsi="Times New Roman" w:eastAsia="黑体" w:cs="Arial"/>
      <w:bCs/>
      <w:kern w:val="2"/>
      <w:sz w:val="18"/>
      <w:szCs w:val="18"/>
      <w:lang w:val="en-US" w:eastAsia="zh-CN" w:bidi="ar-SA"/>
    </w:rPr>
  </w:style>
  <w:style w:type="paragraph" w:customStyle="1" w:styleId="354">
    <w:name w:val="Notes Text in Table"/>
    <w:qFormat/>
    <w:uiPriority w:val="0"/>
    <w:pPr>
      <w:widowControl w:val="0"/>
      <w:adjustRightInd w:val="0"/>
      <w:snapToGrid w:val="0"/>
      <w:spacing w:before="40" w:after="80" w:line="240" w:lineRule="atLeast"/>
      <w:ind w:left="170"/>
    </w:pPr>
    <w:rPr>
      <w:rFonts w:ascii="Times New Roman" w:hAnsi="Times New Roman" w:eastAsia="楷体_GB2312" w:cs="Arial"/>
      <w:iCs/>
      <w:kern w:val="2"/>
      <w:sz w:val="18"/>
      <w:szCs w:val="18"/>
      <w:lang w:val="en-US" w:eastAsia="zh-CN" w:bidi="ar-SA"/>
    </w:rPr>
  </w:style>
  <w:style w:type="paragraph" w:customStyle="1" w:styleId="355">
    <w:name w:val="Heading Right"/>
    <w:basedOn w:val="1"/>
    <w:qFormat/>
    <w:uiPriority w:val="0"/>
    <w:pPr>
      <w:jc w:val="right"/>
    </w:pPr>
    <w:rPr>
      <w:rFonts w:ascii="Calibri" w:hAnsi="Calibri"/>
      <w:sz w:val="20"/>
      <w:szCs w:val="20"/>
    </w:rPr>
  </w:style>
  <w:style w:type="paragraph" w:customStyle="1" w:styleId="356">
    <w:name w:val="WPSOffice手动目录 1"/>
    <w:qFormat/>
    <w:uiPriority w:val="0"/>
    <w:rPr>
      <w:rFonts w:ascii="Times New Roman" w:hAnsi="Times New Roman" w:eastAsia="宋体" w:cs="Times New Roman"/>
      <w:lang w:val="en-US" w:eastAsia="zh-CN" w:bidi="ar-SA"/>
    </w:rPr>
  </w:style>
  <w:style w:type="paragraph" w:customStyle="1" w:styleId="357">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58">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359">
    <w:name w:val="标书三级标题"/>
    <w:basedOn w:val="5"/>
    <w:qFormat/>
    <w:uiPriority w:val="0"/>
    <w:pPr>
      <w:numPr>
        <w:ilvl w:val="0"/>
        <w:numId w:val="0"/>
      </w:numPr>
      <w:tabs>
        <w:tab w:val="left" w:pos="2007"/>
      </w:tabs>
      <w:spacing w:before="120" w:line="415" w:lineRule="auto"/>
    </w:pPr>
    <w:rPr>
      <w:rFonts w:ascii="Calibri" w:hAnsi="Calibri"/>
      <w:bCs w:val="0"/>
      <w:sz w:val="30"/>
      <w:szCs w:val="30"/>
    </w:rPr>
  </w:style>
  <w:style w:type="paragraph" w:customStyle="1" w:styleId="360">
    <w:name w:val="文字"/>
    <w:basedOn w:val="1"/>
    <w:qFormat/>
    <w:uiPriority w:val="0"/>
    <w:pPr>
      <w:spacing w:line="312" w:lineRule="auto"/>
      <w:ind w:right="-210" w:firstLine="556"/>
    </w:pPr>
    <w:rPr>
      <w:rFonts w:ascii="楷体_GB2312" w:hAnsi="Calibri" w:eastAsia="楷体_GB2312"/>
      <w:sz w:val="28"/>
      <w:szCs w:val="20"/>
    </w:rPr>
  </w:style>
  <w:style w:type="paragraph" w:customStyle="1" w:styleId="361">
    <w:name w:val="列出段落3"/>
    <w:basedOn w:val="1"/>
    <w:qFormat/>
    <w:uiPriority w:val="34"/>
    <w:pPr>
      <w:ind w:firstLine="420" w:firstLineChars="200"/>
    </w:pPr>
    <w:rPr>
      <w:rFonts w:ascii="Calibri" w:hAnsi="Calibri"/>
      <w:szCs w:val="22"/>
    </w:rPr>
  </w:style>
  <w:style w:type="paragraph" w:customStyle="1" w:styleId="362">
    <w:name w:val="列出段落31"/>
    <w:basedOn w:val="1"/>
    <w:qFormat/>
    <w:uiPriority w:val="34"/>
    <w:pPr>
      <w:ind w:firstLine="420" w:firstLineChars="200"/>
    </w:pPr>
    <w:rPr>
      <w:rFonts w:ascii="Calibri" w:hAnsi="Calibri" w:cs="Calibri"/>
      <w:szCs w:val="21"/>
    </w:rPr>
  </w:style>
  <w:style w:type="paragraph" w:customStyle="1" w:styleId="363">
    <w:name w:val="mx正文首行缩进"/>
    <w:basedOn w:val="1"/>
    <w:qFormat/>
    <w:uiPriority w:val="0"/>
    <w:pPr>
      <w:wordWrap w:val="0"/>
      <w:spacing w:line="440" w:lineRule="exact"/>
    </w:pPr>
    <w:rPr>
      <w:rFonts w:ascii="MyanbingST" w:hAnsi="MyanbingST" w:eastAsia="仿宋_GB2312"/>
    </w:rPr>
  </w:style>
  <w:style w:type="paragraph" w:customStyle="1" w:styleId="364">
    <w:name w:val="图片标题"/>
    <w:basedOn w:val="1"/>
    <w:next w:val="365"/>
    <w:qFormat/>
    <w:uiPriority w:val="99"/>
    <w:pPr>
      <w:numPr>
        <w:ilvl w:val="0"/>
        <w:numId w:val="12"/>
      </w:numPr>
      <w:spacing w:line="360" w:lineRule="auto"/>
      <w:ind w:left="0" w:firstLine="0"/>
      <w:jc w:val="center"/>
    </w:pPr>
    <w:rPr>
      <w:rFonts w:hAnsi="宋体" w:eastAsia="黑体"/>
      <w:szCs w:val="21"/>
    </w:rPr>
  </w:style>
  <w:style w:type="paragraph" w:customStyle="1" w:styleId="365">
    <w:name w:val="图片"/>
    <w:basedOn w:val="1"/>
    <w:next w:val="1"/>
    <w:link w:val="950"/>
    <w:qFormat/>
    <w:uiPriority w:val="0"/>
    <w:pPr>
      <w:spacing w:line="360" w:lineRule="auto"/>
      <w:jc w:val="center"/>
    </w:pPr>
    <w:rPr>
      <w:rFonts w:hAnsi="宋体"/>
    </w:rPr>
  </w:style>
  <w:style w:type="paragraph" w:customStyle="1" w:styleId="366">
    <w:name w:val="正文SONG"/>
    <w:basedOn w:val="1"/>
    <w:qFormat/>
    <w:uiPriority w:val="99"/>
    <w:pPr>
      <w:spacing w:line="360" w:lineRule="auto"/>
      <w:ind w:firstLine="210" w:firstLineChars="210"/>
    </w:pPr>
    <w:rPr>
      <w:rFonts w:ascii="仿宋_GB2312" w:hAnsi="宋体" w:eastAsia="仿宋_GB2312"/>
      <w:sz w:val="30"/>
      <w:szCs w:val="30"/>
    </w:rPr>
  </w:style>
  <w:style w:type="paragraph" w:customStyle="1" w:styleId="367">
    <w:name w:val="p0"/>
    <w:basedOn w:val="1"/>
    <w:qFormat/>
    <w:uiPriority w:val="0"/>
    <w:pPr>
      <w:widowControl/>
    </w:pPr>
    <w:rPr>
      <w:kern w:val="0"/>
      <w:szCs w:val="21"/>
    </w:rPr>
  </w:style>
  <w:style w:type="paragraph" w:customStyle="1" w:styleId="368">
    <w:name w:val="Item List Text"/>
    <w:qFormat/>
    <w:uiPriority w:val="0"/>
    <w:pPr>
      <w:adjustRightInd w:val="0"/>
      <w:snapToGrid w:val="0"/>
      <w:spacing w:before="80" w:after="80" w:line="240" w:lineRule="atLeast"/>
      <w:ind w:left="2126"/>
    </w:pPr>
    <w:rPr>
      <w:rFonts w:hint="eastAsia" w:ascii="Times New Roman" w:hAnsi="Times New Roman" w:eastAsia="宋体" w:cs="Times New Roman"/>
      <w:kern w:val="2"/>
      <w:sz w:val="21"/>
      <w:szCs w:val="21"/>
      <w:lang w:val="en-US" w:eastAsia="zh-CN" w:bidi="ar-SA"/>
    </w:rPr>
  </w:style>
  <w:style w:type="paragraph" w:customStyle="1" w:styleId="369">
    <w:name w:val="第八章图序"/>
    <w:basedOn w:val="1"/>
    <w:qFormat/>
    <w:uiPriority w:val="0"/>
    <w:pPr>
      <w:numPr>
        <w:ilvl w:val="0"/>
        <w:numId w:val="13"/>
      </w:numPr>
      <w:tabs>
        <w:tab w:val="left" w:pos="1140"/>
      </w:tabs>
      <w:spacing w:before="120" w:after="240"/>
      <w:ind w:left="0" w:firstLine="0"/>
      <w:jc w:val="center"/>
    </w:pPr>
    <w:rPr>
      <w:rFonts w:ascii="Calibri" w:hAnsi="Calibri"/>
    </w:rPr>
  </w:style>
  <w:style w:type="paragraph" w:customStyle="1" w:styleId="370">
    <w:name w:val="内容文本"/>
    <w:basedOn w:val="137"/>
    <w:link w:val="1140"/>
    <w:qFormat/>
    <w:uiPriority w:val="0"/>
    <w:pPr>
      <w:ind w:firstLine="200"/>
      <w:jc w:val="left"/>
    </w:pPr>
    <w:rPr>
      <w:rFonts w:hAnsi="宋体"/>
      <w:kern w:val="0"/>
      <w:lang w:eastAsia="en-US" w:bidi="en-US"/>
    </w:rPr>
  </w:style>
  <w:style w:type="character" w:customStyle="1" w:styleId="371">
    <w:name w:val="正文文本 字符"/>
    <w:basedOn w:val="81"/>
    <w:qFormat/>
    <w:uiPriority w:val="0"/>
    <w:rPr>
      <w:kern w:val="2"/>
      <w:sz w:val="21"/>
      <w:szCs w:val="24"/>
    </w:rPr>
  </w:style>
  <w:style w:type="character" w:customStyle="1" w:styleId="372">
    <w:name w:val="标题 Char1"/>
    <w:qFormat/>
    <w:uiPriority w:val="0"/>
    <w:rPr>
      <w:rFonts w:ascii="Calibri Light" w:hAnsi="Calibri Light"/>
      <w:b/>
      <w:bCs/>
      <w:kern w:val="2"/>
      <w:sz w:val="32"/>
      <w:szCs w:val="32"/>
    </w:rPr>
  </w:style>
  <w:style w:type="character" w:customStyle="1" w:styleId="373">
    <w:name w:val="正文文本缩进 字符"/>
    <w:basedOn w:val="81"/>
    <w:qFormat/>
    <w:uiPriority w:val="0"/>
    <w:rPr>
      <w:kern w:val="2"/>
      <w:sz w:val="21"/>
      <w:szCs w:val="24"/>
    </w:rPr>
  </w:style>
  <w:style w:type="paragraph" w:customStyle="1" w:styleId="374">
    <w:name w:val="FC正文"/>
    <w:basedOn w:val="1"/>
    <w:link w:val="375"/>
    <w:qFormat/>
    <w:uiPriority w:val="0"/>
    <w:pPr>
      <w:snapToGrid w:val="0"/>
      <w:spacing w:before="50" w:beforeLines="50" w:after="50" w:afterLines="50" w:line="520" w:lineRule="exact"/>
      <w:ind w:firstLine="200" w:firstLineChars="200"/>
      <w:contextualSpacing/>
    </w:pPr>
    <w:rPr>
      <w:rFonts w:ascii="Arial Unicode MS" w:hAnsi="Arial Unicode MS"/>
      <w:szCs w:val="21"/>
    </w:rPr>
  </w:style>
  <w:style w:type="character" w:customStyle="1" w:styleId="375">
    <w:name w:val="FC正文 Char"/>
    <w:link w:val="374"/>
    <w:qFormat/>
    <w:uiPriority w:val="0"/>
    <w:rPr>
      <w:rFonts w:ascii="Arial Unicode MS" w:hAnsi="Arial Unicode MS"/>
      <w:kern w:val="2"/>
      <w:sz w:val="24"/>
      <w:szCs w:val="21"/>
    </w:rPr>
  </w:style>
  <w:style w:type="paragraph" w:customStyle="1" w:styleId="376">
    <w:name w:val="样式 标题 7PIM 7 + 行距: 单倍行距"/>
    <w:basedOn w:val="9"/>
    <w:qFormat/>
    <w:uiPriority w:val="0"/>
    <w:pPr>
      <w:numPr>
        <w:ilvl w:val="0"/>
        <w:numId w:val="0"/>
      </w:numPr>
      <w:tabs>
        <w:tab w:val="left" w:pos="1296"/>
      </w:tabs>
      <w:spacing w:before="240" w:after="64"/>
    </w:pPr>
    <w:rPr>
      <w:rFonts w:ascii="Calibri" w:hAnsi="Calibri" w:eastAsia="仿宋" w:cs="宋体"/>
      <w:sz w:val="24"/>
      <w:szCs w:val="20"/>
      <w:lang w:val="zh-CN"/>
    </w:rPr>
  </w:style>
  <w:style w:type="table" w:customStyle="1" w:styleId="377">
    <w:name w:val="FC_bg"/>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78">
    <w:name w:val="FC_bg1"/>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79">
    <w:name w:val="FC_bg2"/>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0">
    <w:name w:val="FC_bg3"/>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1">
    <w:name w:val="FC_bg4"/>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2">
    <w:name w:val="FC_bg5"/>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3">
    <w:name w:val="FC_bg6"/>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4">
    <w:name w:val="FC_bg7"/>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5">
    <w:name w:val="FC_bg8"/>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6">
    <w:name w:val="FC_bg9"/>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7">
    <w:name w:val="FC_bg10"/>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8">
    <w:name w:val="FC_bg11"/>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89">
    <w:name w:val="FC_bg12"/>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0">
    <w:name w:val="FC_bg13"/>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1">
    <w:name w:val="FC_bg14"/>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2">
    <w:name w:val="FC_bg15"/>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3">
    <w:name w:val="FC_bg16"/>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4">
    <w:name w:val="FC_bg17"/>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5">
    <w:name w:val="FC_bg18"/>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6">
    <w:name w:val="FC_bg19"/>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7">
    <w:name w:val="FC_bg20"/>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8">
    <w:name w:val="FC_bg21"/>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399">
    <w:name w:val="FC_bg22"/>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0">
    <w:name w:val="FC_bg23"/>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1">
    <w:name w:val="FC_bg24"/>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2">
    <w:name w:val="FC_bg25"/>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3">
    <w:name w:val="FC_bg26"/>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4">
    <w:name w:val="FC_bg27"/>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5">
    <w:name w:val="FC_bg28"/>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6">
    <w:name w:val="FC_bg29"/>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7">
    <w:name w:val="FC_bg30"/>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8">
    <w:name w:val="FC_bg31"/>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table" w:customStyle="1" w:styleId="409">
    <w:name w:val="FC_bg32"/>
    <w:basedOn w:val="76"/>
    <w:qFormat/>
    <w:uiPriority w:val="0"/>
    <w:pPr>
      <w:snapToGrid w:val="0"/>
      <w:jc w:val="left"/>
    </w:pPr>
    <w:rPr>
      <w:kern w:val="2"/>
      <w:sz w:val="21"/>
      <w:szCs w:val="21"/>
    </w:rPr>
    <w:tblPr>
      <w:tblBorders>
        <w:top w:val="double" w:color="auto" w:sz="4" w:space="0"/>
        <w:left w:val="double" w:color="auto" w:sz="4" w:space="0"/>
        <w:bottom w:val="double" w:color="auto" w:sz="4" w:space="0"/>
        <w:right w:val="double" w:color="auto" w:sz="4" w:space="0"/>
      </w:tblBorders>
      <w:tblCellMar>
        <w:top w:w="0" w:type="dxa"/>
        <w:left w:w="108" w:type="dxa"/>
        <w:bottom w:w="0" w:type="dxa"/>
        <w:right w:w="108" w:type="dxa"/>
      </w:tblCellMar>
    </w:tblPr>
    <w:tcPr>
      <w:shd w:val="clear" w:color="auto" w:fill="FFFFFF"/>
      <w:vAlign w:val="center"/>
    </w:tcPr>
    <w:tblStylePr w:type="firstRow">
      <w:pPr>
        <w:wordWrap/>
        <w:ind w:left="0" w:leftChars="0"/>
      </w:pPr>
      <w:rPr>
        <w:rFonts w:eastAsia="宋体"/>
        <w:sz w:val="21"/>
      </w:rPr>
      <w:tcPr>
        <w:shd w:val="clear" w:color="auto" w:fill="FFFFFF"/>
      </w:tcPr>
    </w:tblStylePr>
  </w:style>
  <w:style w:type="character" w:customStyle="1" w:styleId="410">
    <w:name w:val="标题 4 字符2"/>
    <w:basedOn w:val="81"/>
    <w:qFormat/>
    <w:locked/>
    <w:uiPriority w:val="0"/>
    <w:rPr>
      <w:rFonts w:ascii="Arial" w:hAnsi="Arial" w:cs="Arial"/>
      <w:b/>
      <w:bCs/>
      <w:color w:val="000000"/>
      <w:kern w:val="2"/>
      <w:sz w:val="24"/>
      <w:szCs w:val="24"/>
    </w:rPr>
  </w:style>
  <w:style w:type="character" w:customStyle="1" w:styleId="411">
    <w:name w:val="标题 5 字符2"/>
    <w:basedOn w:val="81"/>
    <w:qFormat/>
    <w:uiPriority w:val="0"/>
    <w:rPr>
      <w:rFonts w:ascii="Arial" w:hAnsi="Arial"/>
      <w:b/>
      <w:bCs/>
      <w:kern w:val="2"/>
      <w:sz w:val="24"/>
      <w:szCs w:val="28"/>
    </w:rPr>
  </w:style>
  <w:style w:type="paragraph" w:customStyle="1" w:styleId="412">
    <w:name w:val="B表头样式"/>
    <w:next w:val="1"/>
    <w:qFormat/>
    <w:uiPriority w:val="0"/>
    <w:pPr>
      <w:jc w:val="center"/>
    </w:pPr>
    <w:rPr>
      <w:rFonts w:ascii="Calibri" w:hAnsi="Calibri" w:eastAsia="黑体" w:cs="Times New Roman"/>
      <w:b/>
      <w:kern w:val="2"/>
      <w:sz w:val="21"/>
      <w:szCs w:val="21"/>
      <w:lang w:val="en-US" w:eastAsia="zh-CN" w:bidi="ar-SA"/>
    </w:rPr>
  </w:style>
  <w:style w:type="paragraph" w:customStyle="1" w:styleId="413">
    <w:name w:val="B表格序号"/>
    <w:basedOn w:val="1"/>
    <w:qFormat/>
    <w:uiPriority w:val="0"/>
    <w:pPr>
      <w:widowControl/>
      <w:pBdr>
        <w:top w:val="none" w:color="auto" w:sz="0" w:space="5"/>
        <w:left w:val="none" w:color="auto" w:sz="0" w:space="5"/>
        <w:bottom w:val="none" w:color="auto" w:sz="0" w:space="5"/>
        <w:right w:val="none" w:color="auto" w:sz="0" w:space="5"/>
      </w:pBdr>
      <w:jc w:val="center"/>
    </w:pPr>
    <w:rPr>
      <w:rFonts w:ascii="Calibri" w:hAnsi="Calibri" w:eastAsia="宋体-简"/>
      <w:szCs w:val="21"/>
    </w:rPr>
  </w:style>
  <w:style w:type="paragraph" w:customStyle="1" w:styleId="414">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15">
    <w:name w:val="表格样式"/>
    <w:basedOn w:val="1"/>
    <w:link w:val="416"/>
    <w:qFormat/>
    <w:uiPriority w:val="0"/>
    <w:pPr>
      <w:spacing w:after="50" w:afterLines="50" w:line="560" w:lineRule="exact"/>
    </w:pPr>
    <w:rPr>
      <w:rFonts w:ascii="Arial Unicode MS" w:hAnsi="Arial Unicode MS" w:cstheme="minorBidi"/>
      <w:szCs w:val="22"/>
    </w:rPr>
  </w:style>
  <w:style w:type="character" w:customStyle="1" w:styleId="416">
    <w:name w:val="表格样式 字符"/>
    <w:basedOn w:val="81"/>
    <w:link w:val="415"/>
    <w:qFormat/>
    <w:uiPriority w:val="0"/>
    <w:rPr>
      <w:rFonts w:ascii="Arial Unicode MS" w:hAnsi="Arial Unicode MS" w:cstheme="minorBidi"/>
      <w:kern w:val="2"/>
      <w:sz w:val="21"/>
      <w:szCs w:val="22"/>
    </w:rPr>
  </w:style>
  <w:style w:type="paragraph" w:customStyle="1" w:styleId="417">
    <w:name w:val="xl15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418">
    <w:name w:val="xl153"/>
    <w:basedOn w:val="1"/>
    <w:qFormat/>
    <w:uiPriority w:val="0"/>
    <w:pPr>
      <w:widowControl/>
      <w:pBdr>
        <w:top w:val="single" w:color="000000" w:sz="4" w:space="0"/>
        <w:left w:val="single" w:color="000000" w:sz="4" w:space="0"/>
        <w:bottom w:val="single" w:color="000000" w:sz="4" w:space="0"/>
        <w:right w:val="double" w:color="000000" w:sz="6"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419">
    <w:name w:val="xl154"/>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textAlignment w:val="center"/>
    </w:pPr>
    <w:rPr>
      <w:rFonts w:hAnsi="宋体" w:cs="宋体"/>
      <w:kern w:val="0"/>
      <w:szCs w:val="21"/>
    </w:rPr>
  </w:style>
  <w:style w:type="paragraph" w:customStyle="1" w:styleId="420">
    <w:name w:val="xl155"/>
    <w:basedOn w:val="1"/>
    <w:qFormat/>
    <w:uiPriority w:val="0"/>
    <w:pPr>
      <w:widowControl/>
      <w:pBdr>
        <w:left w:val="single" w:color="000000" w:sz="4" w:space="0"/>
        <w:right w:val="single" w:color="000000" w:sz="4" w:space="0"/>
      </w:pBdr>
      <w:spacing w:before="100" w:beforeAutospacing="1" w:after="100" w:afterAutospacing="1"/>
      <w:jc w:val="left"/>
      <w:textAlignment w:val="center"/>
    </w:pPr>
    <w:rPr>
      <w:rFonts w:hAnsi="宋体" w:cs="宋体"/>
      <w:kern w:val="0"/>
      <w:szCs w:val="21"/>
    </w:rPr>
  </w:style>
  <w:style w:type="paragraph" w:customStyle="1" w:styleId="421">
    <w:name w:val="xl15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hAnsi="宋体" w:cs="宋体"/>
      <w:kern w:val="0"/>
      <w:szCs w:val="21"/>
    </w:rPr>
  </w:style>
  <w:style w:type="character" w:customStyle="1" w:styleId="422">
    <w:name w:val="font71"/>
    <w:basedOn w:val="81"/>
    <w:qFormat/>
    <w:uiPriority w:val="0"/>
    <w:rPr>
      <w:rFonts w:hint="eastAsia" w:ascii="宋体" w:hAnsi="宋体" w:eastAsia="宋体" w:cs="宋体"/>
      <w:color w:val="auto"/>
      <w:sz w:val="21"/>
      <w:szCs w:val="21"/>
      <w:u w:val="none"/>
    </w:rPr>
  </w:style>
  <w:style w:type="character" w:customStyle="1" w:styleId="423">
    <w:name w:val="font51"/>
    <w:basedOn w:val="81"/>
    <w:qFormat/>
    <w:uiPriority w:val="0"/>
    <w:rPr>
      <w:rFonts w:hint="eastAsia" w:ascii="宋体" w:hAnsi="宋体" w:eastAsia="宋体" w:cs="宋体"/>
      <w:color w:val="auto"/>
      <w:sz w:val="21"/>
      <w:szCs w:val="21"/>
      <w:u w:val="none"/>
    </w:rPr>
  </w:style>
  <w:style w:type="character" w:customStyle="1" w:styleId="424">
    <w:name w:val="标题 8 字符1"/>
    <w:basedOn w:val="81"/>
    <w:qFormat/>
    <w:uiPriority w:val="0"/>
    <w:rPr>
      <w:rFonts w:hint="eastAsia" w:ascii="宋体" w:hAnsi="宋体" w:eastAsia="宋体" w:cs="宋体"/>
      <w:b/>
      <w:kern w:val="2"/>
      <w:sz w:val="24"/>
      <w:szCs w:val="21"/>
    </w:rPr>
  </w:style>
  <w:style w:type="character" w:customStyle="1" w:styleId="425">
    <w:name w:val="标题 2 字符1"/>
    <w:basedOn w:val="81"/>
    <w:qFormat/>
    <w:uiPriority w:val="9"/>
    <w:rPr>
      <w:rFonts w:hint="default" w:ascii="Arial" w:hAnsi="Arial" w:cs="Arial"/>
      <w:b/>
      <w:kern w:val="2"/>
      <w:sz w:val="30"/>
      <w:szCs w:val="32"/>
    </w:rPr>
  </w:style>
  <w:style w:type="character" w:customStyle="1" w:styleId="426">
    <w:name w:val="标题 3 字符1"/>
    <w:basedOn w:val="81"/>
    <w:qFormat/>
    <w:uiPriority w:val="99"/>
    <w:rPr>
      <w:rFonts w:hint="default" w:ascii="Arial" w:hAnsi="Arial" w:cs="Arial"/>
      <w:b/>
      <w:kern w:val="2"/>
      <w:sz w:val="28"/>
      <w:szCs w:val="32"/>
    </w:rPr>
  </w:style>
  <w:style w:type="character" w:customStyle="1" w:styleId="427">
    <w:name w:val="标题 4 字符1"/>
    <w:basedOn w:val="81"/>
    <w:qFormat/>
    <w:uiPriority w:val="9"/>
    <w:rPr>
      <w:rFonts w:hint="default" w:ascii="Arial" w:hAnsi="Arial" w:cs="Arial"/>
      <w:b/>
      <w:color w:val="000000"/>
      <w:kern w:val="2"/>
      <w:sz w:val="24"/>
      <w:szCs w:val="24"/>
    </w:rPr>
  </w:style>
  <w:style w:type="character" w:customStyle="1" w:styleId="428">
    <w:name w:val="font61"/>
    <w:basedOn w:val="81"/>
    <w:qFormat/>
    <w:uiPriority w:val="0"/>
    <w:rPr>
      <w:rFonts w:hint="eastAsia" w:ascii="宋体" w:hAnsi="宋体" w:eastAsia="宋体" w:cs="宋体"/>
      <w:b/>
      <w:color w:val="auto"/>
      <w:sz w:val="21"/>
      <w:szCs w:val="21"/>
      <w:u w:val="none"/>
    </w:rPr>
  </w:style>
  <w:style w:type="character" w:customStyle="1" w:styleId="429">
    <w:name w:val="未处理的提及3"/>
    <w:basedOn w:val="81"/>
    <w:unhideWhenUsed/>
    <w:qFormat/>
    <w:uiPriority w:val="99"/>
    <w:rPr>
      <w:color w:val="605E5C"/>
      <w:shd w:val="clear" w:color="auto" w:fill="E1DFDD"/>
    </w:rPr>
  </w:style>
  <w:style w:type="character" w:customStyle="1" w:styleId="430">
    <w:name w:val="未处理的提及4"/>
    <w:basedOn w:val="81"/>
    <w:unhideWhenUsed/>
    <w:qFormat/>
    <w:uiPriority w:val="99"/>
    <w:rPr>
      <w:color w:val="605E5C"/>
      <w:shd w:val="clear" w:color="auto" w:fill="E1DFDD"/>
    </w:rPr>
  </w:style>
  <w:style w:type="character" w:customStyle="1" w:styleId="431">
    <w:name w:val="未处理的提及5"/>
    <w:basedOn w:val="81"/>
    <w:semiHidden/>
    <w:unhideWhenUsed/>
    <w:qFormat/>
    <w:uiPriority w:val="99"/>
    <w:rPr>
      <w:color w:val="605E5C"/>
      <w:shd w:val="clear" w:color="auto" w:fill="E1DFDD"/>
    </w:rPr>
  </w:style>
  <w:style w:type="table" w:customStyle="1" w:styleId="432">
    <w:name w:val="FC1"/>
    <w:basedOn w:val="75"/>
    <w:qFormat/>
    <w:uiPriority w:val="99"/>
    <w:pPr>
      <w:jc w:val="both"/>
    </w:pPr>
    <w:rPr>
      <w:rFonts w:eastAsiaTheme="minorEastAsia" w:cstheme="minorBidi"/>
      <w:kern w:val="2"/>
      <w:sz w:val="21"/>
      <w:szCs w:val="21"/>
    </w:rPr>
    <w:tblP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
    <w:tcPr>
      <w:vAlign w:val="center"/>
    </w:tcPr>
    <w:tblStylePr w:type="firstRow">
      <w:rPr>
        <w:b/>
        <w:color w:val="auto"/>
      </w:rPr>
      <w:tcPr>
        <w:shd w:val="clear" w:color="auto" w:fill="BEBEBE" w:themeFill="background1" w:themeFillShade="BF"/>
      </w:tcPr>
    </w:tblStylePr>
  </w:style>
  <w:style w:type="paragraph" w:customStyle="1" w:styleId="433">
    <w:name w:val="一级条标题"/>
    <w:next w:val="1"/>
    <w:qFormat/>
    <w:uiPriority w:val="0"/>
    <w:pPr>
      <w:outlineLvl w:val="2"/>
    </w:pPr>
    <w:rPr>
      <w:rFonts w:ascii="Times New Roman" w:hAnsi="Times New Roman" w:eastAsia="黑体" w:cs="Times New Roman"/>
      <w:sz w:val="21"/>
      <w:lang w:val="en-US" w:eastAsia="zh-CN" w:bidi="ar-SA"/>
    </w:rPr>
  </w:style>
  <w:style w:type="character" w:customStyle="1" w:styleId="434">
    <w:name w:val="z-窗体顶端 Char1"/>
    <w:basedOn w:val="81"/>
    <w:semiHidden/>
    <w:qFormat/>
    <w:uiPriority w:val="99"/>
    <w:rPr>
      <w:rFonts w:ascii="Arial" w:hAnsi="Arial" w:cs="Arial"/>
      <w:vanish/>
      <w:kern w:val="2"/>
      <w:sz w:val="16"/>
      <w:szCs w:val="16"/>
    </w:rPr>
  </w:style>
  <w:style w:type="character" w:customStyle="1" w:styleId="435">
    <w:name w:val="z-窗体底端 Char1"/>
    <w:basedOn w:val="81"/>
    <w:semiHidden/>
    <w:qFormat/>
    <w:uiPriority w:val="99"/>
    <w:rPr>
      <w:rFonts w:ascii="Arial" w:hAnsi="Arial" w:cs="Arial"/>
      <w:vanish/>
      <w:kern w:val="2"/>
      <w:sz w:val="16"/>
      <w:szCs w:val="16"/>
    </w:rPr>
  </w:style>
  <w:style w:type="paragraph" w:customStyle="1" w:styleId="436">
    <w:name w:val="二级条标题"/>
    <w:basedOn w:val="1"/>
    <w:next w:val="1"/>
    <w:qFormat/>
    <w:uiPriority w:val="0"/>
    <w:pPr>
      <w:widowControl/>
      <w:numPr>
        <w:ilvl w:val="0"/>
        <w:numId w:val="14"/>
      </w:numPr>
      <w:jc w:val="left"/>
      <w:outlineLvl w:val="2"/>
    </w:pPr>
    <w:rPr>
      <w:rFonts w:eastAsia="黑体"/>
      <w:kern w:val="0"/>
      <w:szCs w:val="20"/>
    </w:rPr>
  </w:style>
  <w:style w:type="paragraph" w:customStyle="1" w:styleId="437">
    <w:name w:val="样式 标题 2 + 小二"/>
    <w:basedOn w:val="4"/>
    <w:qFormat/>
    <w:uiPriority w:val="0"/>
    <w:pPr>
      <w:numPr>
        <w:numId w:val="15"/>
      </w:numPr>
      <w:tabs>
        <w:tab w:val="left" w:pos="2700"/>
      </w:tabs>
      <w:spacing w:before="0" w:after="312" w:afterLines="100" w:line="360" w:lineRule="auto"/>
      <w:ind w:left="284" w:right="122" w:rightChars="58"/>
      <w:outlineLvl w:val="0"/>
    </w:pPr>
    <w:rPr>
      <w:rFonts w:ascii="Times New Roman" w:hAnsi="Times New Roman" w:eastAsia="Times New Roman"/>
      <w:spacing w:val="-6"/>
      <w:sz w:val="32"/>
    </w:rPr>
  </w:style>
  <w:style w:type="paragraph" w:customStyle="1" w:styleId="438">
    <w:name w:val="文档正文"/>
    <w:basedOn w:val="1"/>
    <w:link w:val="439"/>
    <w:qFormat/>
    <w:uiPriority w:val="0"/>
    <w:pPr>
      <w:adjustRightInd w:val="0"/>
      <w:spacing w:line="480" w:lineRule="atLeast"/>
      <w:ind w:firstLine="480"/>
      <w:textAlignment w:val="baseline"/>
    </w:pPr>
    <w:rPr>
      <w:rFonts w:hAnsi="Arial"/>
      <w:kern w:val="0"/>
      <w:szCs w:val="20"/>
      <w:lang w:val="zh-CN"/>
    </w:rPr>
  </w:style>
  <w:style w:type="character" w:customStyle="1" w:styleId="439">
    <w:name w:val="文档正文 Char"/>
    <w:link w:val="438"/>
    <w:qFormat/>
    <w:uiPriority w:val="0"/>
    <w:rPr>
      <w:rFonts w:ascii="宋体" w:hAnsi="Arial"/>
      <w:sz w:val="24"/>
      <w:lang w:val="zh-CN" w:eastAsia="zh-CN"/>
    </w:rPr>
  </w:style>
  <w:style w:type="paragraph" w:customStyle="1" w:styleId="440">
    <w:name w:val="Char1"/>
    <w:basedOn w:val="1"/>
    <w:qFormat/>
    <w:uiPriority w:val="0"/>
    <w:pPr>
      <w:widowControl/>
      <w:spacing w:after="160" w:line="240" w:lineRule="exact"/>
      <w:jc w:val="left"/>
    </w:pPr>
    <w:rPr>
      <w:rFonts w:ascii="Tahoma" w:hAnsi="Tahoma"/>
      <w:kern w:val="0"/>
      <w:lang w:eastAsia="en-US"/>
    </w:rPr>
  </w:style>
  <w:style w:type="paragraph" w:customStyle="1" w:styleId="441">
    <w:name w:val="Char Char Char"/>
    <w:basedOn w:val="1"/>
    <w:qFormat/>
    <w:uiPriority w:val="0"/>
    <w:pPr>
      <w:spacing w:after="100" w:afterLines="100" w:line="360" w:lineRule="auto"/>
      <w:jc w:val="center"/>
    </w:pPr>
    <w:rPr>
      <w:rFonts w:ascii="Tahoma" w:hAnsi="Tahoma" w:eastAsia="黑体"/>
      <w:sz w:val="36"/>
      <w:szCs w:val="20"/>
    </w:rPr>
  </w:style>
  <w:style w:type="paragraph" w:customStyle="1" w:styleId="442">
    <w:name w:val="论文正文"/>
    <w:basedOn w:val="1"/>
    <w:link w:val="443"/>
    <w:qFormat/>
    <w:uiPriority w:val="0"/>
    <w:pPr>
      <w:snapToGrid w:val="0"/>
      <w:spacing w:line="560" w:lineRule="exact"/>
      <w:ind w:firstLine="560" w:firstLineChars="200"/>
    </w:pPr>
    <w:rPr>
      <w:rFonts w:ascii="仿宋_GB2312" w:eastAsia="仿宋_GB2312"/>
      <w:kern w:val="0"/>
      <w:sz w:val="28"/>
      <w:szCs w:val="28"/>
    </w:rPr>
  </w:style>
  <w:style w:type="character" w:customStyle="1" w:styleId="443">
    <w:name w:val="论文正文 Char"/>
    <w:link w:val="442"/>
    <w:qFormat/>
    <w:uiPriority w:val="0"/>
    <w:rPr>
      <w:rFonts w:ascii="仿宋_GB2312" w:eastAsia="仿宋_GB2312"/>
      <w:sz w:val="28"/>
      <w:szCs w:val="28"/>
    </w:rPr>
  </w:style>
  <w:style w:type="paragraph" w:customStyle="1" w:styleId="444">
    <w:name w:val="样式2"/>
    <w:basedOn w:val="4"/>
    <w:link w:val="445"/>
    <w:qFormat/>
    <w:uiPriority w:val="0"/>
    <w:pPr>
      <w:numPr>
        <w:ilvl w:val="0"/>
        <w:numId w:val="0"/>
      </w:numPr>
      <w:tabs>
        <w:tab w:val="left" w:pos="576"/>
      </w:tabs>
      <w:spacing w:before="240" w:line="360" w:lineRule="auto"/>
      <w:ind w:left="576" w:hanging="576"/>
    </w:pPr>
    <w:rPr>
      <w:rFonts w:ascii="Times New Roman" w:hAnsi="Times New Roman"/>
      <w:bCs w:val="0"/>
      <w:sz w:val="32"/>
      <w:szCs w:val="20"/>
    </w:rPr>
  </w:style>
  <w:style w:type="character" w:customStyle="1" w:styleId="445">
    <w:name w:val="样式2 Char"/>
    <w:link w:val="444"/>
    <w:qFormat/>
    <w:uiPriority w:val="0"/>
    <w:rPr>
      <w:b/>
      <w:kern w:val="2"/>
      <w:sz w:val="32"/>
    </w:rPr>
  </w:style>
  <w:style w:type="character" w:customStyle="1" w:styleId="446">
    <w:name w:val="HTML 预设格式 Char1"/>
    <w:basedOn w:val="81"/>
    <w:link w:val="68"/>
    <w:qFormat/>
    <w:uiPriority w:val="0"/>
    <w:rPr>
      <w:rFonts w:ascii="Arial" w:hAnsi="Arial"/>
      <w:sz w:val="24"/>
      <w:szCs w:val="24"/>
      <w:lang w:val="zh-CN" w:eastAsia="zh-CN"/>
    </w:rPr>
  </w:style>
  <w:style w:type="paragraph" w:customStyle="1" w:styleId="447">
    <w:name w:val="其它"/>
    <w:basedOn w:val="1"/>
    <w:qFormat/>
    <w:uiPriority w:val="0"/>
    <w:pPr>
      <w:spacing w:line="520" w:lineRule="atLeast"/>
      <w:ind w:firstLine="461" w:firstLineChars="192"/>
    </w:pPr>
    <w:rPr>
      <w:rFonts w:hAnsi="宋体"/>
      <w:kern w:val="24"/>
    </w:rPr>
  </w:style>
  <w:style w:type="paragraph" w:customStyle="1" w:styleId="448">
    <w:name w:val="列表（编号一级）"/>
    <w:basedOn w:val="1"/>
    <w:qFormat/>
    <w:uiPriority w:val="0"/>
    <w:pPr>
      <w:widowControl/>
      <w:spacing w:before="78" w:beforeLines="25" w:line="300" w:lineRule="auto"/>
      <w:ind w:left="425" w:hanging="425"/>
      <w:jc w:val="left"/>
    </w:pPr>
    <w:rPr>
      <w:rFonts w:ascii="Arial" w:hAnsi="Arial"/>
      <w:kern w:val="0"/>
      <w:szCs w:val="21"/>
    </w:rPr>
  </w:style>
  <w:style w:type="paragraph" w:customStyle="1" w:styleId="449">
    <w:name w:val="Default Paragraph Font Para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50">
    <w:name w:val="Char3"/>
    <w:basedOn w:val="1"/>
    <w:qFormat/>
    <w:uiPriority w:val="0"/>
    <w:pPr>
      <w:widowControl/>
      <w:spacing w:after="160" w:line="240" w:lineRule="exact"/>
      <w:ind w:firstLine="200" w:firstLineChars="200"/>
      <w:jc w:val="left"/>
    </w:pPr>
    <w:rPr>
      <w:rFonts w:ascii="Verdana" w:hAnsi="Verdana" w:cs="宋体"/>
      <w:kern w:val="0"/>
      <w:sz w:val="20"/>
      <w:szCs w:val="20"/>
      <w:lang w:eastAsia="en-US"/>
    </w:rPr>
  </w:style>
  <w:style w:type="character" w:customStyle="1" w:styleId="451">
    <w:name w:val="info_content"/>
    <w:qFormat/>
    <w:uiPriority w:val="0"/>
  </w:style>
  <w:style w:type="paragraph" w:customStyle="1" w:styleId="452">
    <w:name w:val="TOC 标题2"/>
    <w:basedOn w:val="3"/>
    <w:next w:val="1"/>
    <w:qFormat/>
    <w:uiPriority w:val="39"/>
    <w:pPr>
      <w:widowControl/>
      <w:numPr>
        <w:numId w:val="0"/>
      </w:numPr>
      <w:spacing w:before="480" w:line="276" w:lineRule="auto"/>
      <w:jc w:val="left"/>
      <w:outlineLvl w:val="9"/>
    </w:pPr>
    <w:rPr>
      <w:rFonts w:ascii="Cambria" w:hAnsi="Cambria"/>
      <w:bCs/>
      <w:color w:val="365F91"/>
      <w:kern w:val="0"/>
      <w:sz w:val="28"/>
      <w:szCs w:val="28"/>
    </w:rPr>
  </w:style>
  <w:style w:type="paragraph" w:customStyle="1" w:styleId="453">
    <w:name w:val="xl5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cs="宋体"/>
      <w:kern w:val="0"/>
      <w:sz w:val="20"/>
      <w:szCs w:val="20"/>
    </w:rPr>
  </w:style>
  <w:style w:type="paragraph" w:customStyle="1" w:styleId="454">
    <w:name w:val="xl513"/>
    <w:basedOn w:val="1"/>
    <w:qFormat/>
    <w:uiPriority w:val="0"/>
    <w:pPr>
      <w:widowControl/>
      <w:spacing w:before="100" w:beforeAutospacing="1" w:after="100" w:afterAutospacing="1"/>
      <w:jc w:val="left"/>
    </w:pPr>
    <w:rPr>
      <w:rFonts w:hAnsi="宋体" w:cs="宋体"/>
      <w:kern w:val="0"/>
      <w:sz w:val="20"/>
      <w:szCs w:val="20"/>
    </w:rPr>
  </w:style>
  <w:style w:type="paragraph" w:customStyle="1" w:styleId="455">
    <w:name w:val="xl514"/>
    <w:basedOn w:val="1"/>
    <w:qFormat/>
    <w:uiPriority w:val="0"/>
    <w:pPr>
      <w:widowControl/>
      <w:pBdr>
        <w:top w:val="single" w:color="auto" w:sz="4" w:space="0"/>
        <w:left w:val="single" w:color="auto" w:sz="4" w:space="0"/>
        <w:bottom w:val="single" w:color="auto" w:sz="4" w:space="0"/>
        <w:right w:val="single" w:color="auto" w:sz="4" w:space="0"/>
      </w:pBdr>
      <w:shd w:val="clear" w:color="000000" w:fill="FFCC00"/>
      <w:spacing w:before="100" w:beforeAutospacing="1" w:after="100" w:afterAutospacing="1"/>
      <w:jc w:val="left"/>
    </w:pPr>
    <w:rPr>
      <w:rFonts w:hAnsi="宋体" w:cs="宋体"/>
      <w:kern w:val="0"/>
      <w:sz w:val="20"/>
      <w:szCs w:val="20"/>
    </w:rPr>
  </w:style>
  <w:style w:type="paragraph" w:customStyle="1" w:styleId="456">
    <w:name w:val="xl515"/>
    <w:basedOn w:val="1"/>
    <w:qFormat/>
    <w:uiPriority w:val="0"/>
    <w:pPr>
      <w:widowControl/>
      <w:spacing w:before="100" w:beforeAutospacing="1" w:after="100" w:afterAutospacing="1"/>
      <w:jc w:val="left"/>
    </w:pPr>
    <w:rPr>
      <w:rFonts w:hAnsi="宋体" w:cs="宋体"/>
      <w:kern w:val="0"/>
      <w:sz w:val="20"/>
      <w:szCs w:val="20"/>
    </w:rPr>
  </w:style>
  <w:style w:type="paragraph" w:customStyle="1" w:styleId="457">
    <w:name w:val="xl516"/>
    <w:basedOn w:val="1"/>
    <w:qFormat/>
    <w:uiPriority w:val="0"/>
    <w:pPr>
      <w:widowControl/>
      <w:spacing w:before="100" w:beforeAutospacing="1" w:after="100" w:afterAutospacing="1"/>
      <w:jc w:val="center"/>
    </w:pPr>
    <w:rPr>
      <w:rFonts w:hAnsi="宋体" w:cs="宋体"/>
      <w:kern w:val="0"/>
      <w:sz w:val="20"/>
      <w:szCs w:val="20"/>
    </w:rPr>
  </w:style>
  <w:style w:type="paragraph" w:customStyle="1" w:styleId="458">
    <w:name w:val="xl517"/>
    <w:basedOn w:val="1"/>
    <w:qFormat/>
    <w:uiPriority w:val="0"/>
    <w:pPr>
      <w:widowControl/>
      <w:spacing w:before="100" w:beforeAutospacing="1" w:after="100" w:afterAutospacing="1"/>
      <w:jc w:val="left"/>
    </w:pPr>
    <w:rPr>
      <w:rFonts w:hAnsi="宋体" w:cs="宋体"/>
      <w:kern w:val="0"/>
      <w:sz w:val="20"/>
      <w:szCs w:val="20"/>
    </w:rPr>
  </w:style>
  <w:style w:type="paragraph" w:customStyle="1" w:styleId="459">
    <w:name w:val="xl518"/>
    <w:basedOn w:val="1"/>
    <w:qFormat/>
    <w:uiPriority w:val="0"/>
    <w:pPr>
      <w:widowControl/>
      <w:spacing w:before="100" w:beforeAutospacing="1" w:after="100" w:afterAutospacing="1"/>
      <w:jc w:val="center"/>
    </w:pPr>
    <w:rPr>
      <w:rFonts w:hAnsi="宋体" w:cs="宋体"/>
      <w:kern w:val="0"/>
      <w:sz w:val="20"/>
      <w:szCs w:val="20"/>
    </w:rPr>
  </w:style>
  <w:style w:type="paragraph" w:customStyle="1" w:styleId="460">
    <w:name w:val="xl51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1">
    <w:name w:val="xl520"/>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2">
    <w:name w:val="xl52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hAnsi="宋体" w:cs="宋体"/>
      <w:kern w:val="0"/>
      <w:sz w:val="20"/>
      <w:szCs w:val="20"/>
    </w:rPr>
  </w:style>
  <w:style w:type="paragraph" w:customStyle="1" w:styleId="463">
    <w:name w:val="xl52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4">
    <w:name w:val="xl523"/>
    <w:basedOn w:val="1"/>
    <w:qFormat/>
    <w:uiPriority w:val="0"/>
    <w:pPr>
      <w:widowControl/>
      <w:pBdr>
        <w:top w:val="single" w:color="auto" w:sz="4" w:space="0"/>
        <w:bottom w:val="single" w:color="auto" w:sz="4" w:space="0"/>
        <w:right w:val="single" w:color="auto" w:sz="4" w:space="0"/>
      </w:pBdr>
      <w:shd w:val="clear" w:color="000000" w:fill="FFCC00"/>
      <w:spacing w:before="100" w:beforeAutospacing="1" w:after="100" w:afterAutospacing="1"/>
      <w:jc w:val="left"/>
    </w:pPr>
    <w:rPr>
      <w:rFonts w:hAnsi="宋体" w:cs="宋体"/>
      <w:kern w:val="0"/>
      <w:sz w:val="28"/>
      <w:szCs w:val="28"/>
    </w:rPr>
  </w:style>
  <w:style w:type="paragraph" w:customStyle="1" w:styleId="465">
    <w:name w:val="xl5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6">
    <w:name w:val="xl52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7">
    <w:name w:val="xl526"/>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hAnsi="宋体" w:cs="宋体"/>
      <w:kern w:val="0"/>
      <w:sz w:val="22"/>
      <w:szCs w:val="22"/>
    </w:rPr>
  </w:style>
  <w:style w:type="paragraph" w:customStyle="1" w:styleId="468">
    <w:name w:val="xl527"/>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hAnsi="宋体" w:cs="宋体"/>
      <w:kern w:val="0"/>
      <w:sz w:val="20"/>
      <w:szCs w:val="20"/>
    </w:rPr>
  </w:style>
  <w:style w:type="paragraph" w:customStyle="1" w:styleId="469">
    <w:name w:val="xl5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cs="宋体"/>
      <w:kern w:val="0"/>
      <w:sz w:val="20"/>
      <w:szCs w:val="20"/>
    </w:rPr>
  </w:style>
  <w:style w:type="paragraph" w:customStyle="1" w:styleId="470">
    <w:name w:val="xl529"/>
    <w:basedOn w:val="1"/>
    <w:qFormat/>
    <w:uiPriority w:val="0"/>
    <w:pPr>
      <w:widowControl/>
      <w:pBdr>
        <w:top w:val="single" w:color="auto" w:sz="4" w:space="0"/>
        <w:bottom w:val="single" w:color="auto" w:sz="4" w:space="0"/>
        <w:right w:val="single" w:color="auto" w:sz="4" w:space="0"/>
      </w:pBdr>
      <w:shd w:val="clear" w:color="000000" w:fill="FFCC00"/>
      <w:spacing w:before="100" w:beforeAutospacing="1" w:after="100" w:afterAutospacing="1"/>
      <w:jc w:val="left"/>
    </w:pPr>
    <w:rPr>
      <w:rFonts w:hAnsi="宋体" w:cs="宋体"/>
      <w:kern w:val="0"/>
      <w:sz w:val="28"/>
      <w:szCs w:val="28"/>
    </w:rPr>
  </w:style>
  <w:style w:type="paragraph" w:customStyle="1" w:styleId="471">
    <w:name w:val="xl5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472">
    <w:name w:val="xl5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hAnsi="宋体" w:cs="宋体"/>
      <w:kern w:val="0"/>
      <w:sz w:val="22"/>
      <w:szCs w:val="22"/>
    </w:rPr>
  </w:style>
  <w:style w:type="paragraph" w:customStyle="1" w:styleId="473">
    <w:name w:val="xl532"/>
    <w:basedOn w:val="1"/>
    <w:qFormat/>
    <w:uiPriority w:val="0"/>
    <w:pPr>
      <w:widowControl/>
      <w:pBdr>
        <w:top w:val="single" w:color="auto" w:sz="4" w:space="0"/>
        <w:left w:val="single" w:color="auto" w:sz="4" w:space="0"/>
        <w:bottom w:val="single" w:color="auto" w:sz="4" w:space="0"/>
        <w:right w:val="single" w:color="auto" w:sz="4" w:space="0"/>
      </w:pBdr>
      <w:shd w:val="clear" w:color="000000" w:fill="auto"/>
      <w:spacing w:before="100" w:beforeAutospacing="1" w:after="100" w:afterAutospacing="1"/>
      <w:jc w:val="left"/>
    </w:pPr>
    <w:rPr>
      <w:rFonts w:hAnsi="宋体" w:cs="宋体"/>
      <w:kern w:val="0"/>
      <w:sz w:val="22"/>
      <w:szCs w:val="22"/>
    </w:rPr>
  </w:style>
  <w:style w:type="paragraph" w:customStyle="1" w:styleId="474">
    <w:name w:val="xl53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475">
    <w:name w:val="xl5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476">
    <w:name w:val="xl53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hAnsi="宋体" w:cs="宋体"/>
      <w:kern w:val="0"/>
      <w:sz w:val="22"/>
      <w:szCs w:val="22"/>
    </w:rPr>
  </w:style>
  <w:style w:type="paragraph" w:customStyle="1" w:styleId="477">
    <w:name w:val="xl536"/>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hAnsi="宋体" w:cs="宋体"/>
      <w:kern w:val="0"/>
      <w:sz w:val="22"/>
      <w:szCs w:val="22"/>
    </w:rPr>
  </w:style>
  <w:style w:type="paragraph" w:customStyle="1" w:styleId="478">
    <w:name w:val="xl537"/>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hAnsi="宋体" w:cs="宋体"/>
      <w:kern w:val="0"/>
      <w:sz w:val="22"/>
      <w:szCs w:val="22"/>
    </w:rPr>
  </w:style>
  <w:style w:type="paragraph" w:customStyle="1" w:styleId="479">
    <w:name w:val="封面公司名称"/>
    <w:basedOn w:val="28"/>
    <w:qFormat/>
    <w:uiPriority w:val="0"/>
    <w:pPr>
      <w:jc w:val="center"/>
    </w:pPr>
    <w:rPr>
      <w:rFonts w:ascii="黑体" w:eastAsia="黑体" w:cs="宋体"/>
      <w:sz w:val="30"/>
      <w:szCs w:val="20"/>
    </w:rPr>
  </w:style>
  <w:style w:type="character" w:customStyle="1" w:styleId="480">
    <w:name w:val="称呼 Char"/>
    <w:basedOn w:val="81"/>
    <w:link w:val="28"/>
    <w:qFormat/>
    <w:uiPriority w:val="0"/>
    <w:rPr>
      <w:rFonts w:ascii="宋体"/>
      <w:kern w:val="2"/>
      <w:sz w:val="21"/>
      <w:szCs w:val="24"/>
    </w:rPr>
  </w:style>
  <w:style w:type="character" w:customStyle="1" w:styleId="481">
    <w:name w:val="着重"/>
    <w:qFormat/>
    <w:uiPriority w:val="0"/>
    <w:rPr>
      <w:rFonts w:ascii="Arial" w:hAnsi="Arial" w:eastAsia="楷体"/>
    </w:rPr>
  </w:style>
  <w:style w:type="character" w:customStyle="1" w:styleId="482">
    <w:name w:val="正文段落 Char"/>
    <w:link w:val="483"/>
    <w:qFormat/>
    <w:uiPriority w:val="0"/>
    <w:rPr>
      <w:rFonts w:eastAsia="仿宋_GB2312"/>
      <w:spacing w:val="-4"/>
      <w:sz w:val="32"/>
      <w:szCs w:val="32"/>
    </w:rPr>
  </w:style>
  <w:style w:type="paragraph" w:customStyle="1" w:styleId="483">
    <w:name w:val="正文段落"/>
    <w:basedOn w:val="1"/>
    <w:link w:val="482"/>
    <w:qFormat/>
    <w:uiPriority w:val="0"/>
    <w:pPr>
      <w:ind w:firstLine="624" w:firstLineChars="200"/>
    </w:pPr>
    <w:rPr>
      <w:rFonts w:eastAsia="仿宋_GB2312"/>
      <w:spacing w:val="-4"/>
      <w:kern w:val="0"/>
      <w:sz w:val="32"/>
      <w:szCs w:val="32"/>
    </w:rPr>
  </w:style>
  <w:style w:type="paragraph" w:customStyle="1" w:styleId="484">
    <w:name w:val="Indent Normal"/>
    <w:basedOn w:val="1"/>
    <w:qFormat/>
    <w:uiPriority w:val="0"/>
    <w:pPr>
      <w:ind w:firstLine="150" w:firstLineChars="150"/>
    </w:pPr>
  </w:style>
  <w:style w:type="paragraph" w:customStyle="1" w:styleId="485">
    <w:name w:val="助手文本"/>
    <w:basedOn w:val="1"/>
    <w:qFormat/>
    <w:uiPriority w:val="0"/>
    <w:pPr>
      <w:autoSpaceDE w:val="0"/>
      <w:autoSpaceDN w:val="0"/>
      <w:adjustRightInd w:val="0"/>
      <w:spacing w:beforeLines="50" w:afterLines="50" w:line="360" w:lineRule="auto"/>
      <w:ind w:left="14" w:firstLine="434"/>
      <w:textAlignment w:val="baseline"/>
    </w:pPr>
    <w:rPr>
      <w:rFonts w:ascii="楷体_GB2312" w:eastAsia="楷体_GB2312"/>
      <w:kern w:val="0"/>
      <w:szCs w:val="20"/>
      <w:u w:val="single"/>
    </w:rPr>
  </w:style>
  <w:style w:type="paragraph" w:customStyle="1" w:styleId="486">
    <w:name w:val="ylm-小四1.5"/>
    <w:basedOn w:val="1"/>
    <w:qFormat/>
    <w:uiPriority w:val="0"/>
    <w:pPr>
      <w:spacing w:line="360" w:lineRule="auto"/>
      <w:ind w:firstLine="200" w:firstLineChars="200"/>
    </w:pPr>
  </w:style>
  <w:style w:type="paragraph" w:customStyle="1" w:styleId="487">
    <w:name w:val="段"/>
    <w:basedOn w:val="1"/>
    <w:link w:val="1448"/>
    <w:qFormat/>
    <w:uiPriority w:val="0"/>
    <w:pPr>
      <w:snapToGrid w:val="0"/>
      <w:spacing w:line="288" w:lineRule="auto"/>
      <w:ind w:firstLine="420" w:firstLineChars="200"/>
    </w:pPr>
    <w:rPr>
      <w:szCs w:val="21"/>
    </w:rPr>
  </w:style>
  <w:style w:type="paragraph" w:customStyle="1" w:styleId="488">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489">
    <w:name w:val="章标题"/>
    <w:next w:val="487"/>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490">
    <w:name w:val="列项——（一级）"/>
    <w:qFormat/>
    <w:uiPriority w:val="0"/>
    <w:pPr>
      <w:widowControl w:val="0"/>
      <w:numPr>
        <w:ilvl w:val="0"/>
        <w:numId w:val="16"/>
      </w:numPr>
      <w:tabs>
        <w:tab w:val="left" w:pos="854"/>
        <w:tab w:val="clear" w:pos="1140"/>
      </w:tabs>
      <w:snapToGrid w:val="0"/>
      <w:spacing w:line="288" w:lineRule="auto"/>
      <w:ind w:left="400" w:leftChars="200" w:hanging="200" w:hangingChars="200"/>
      <w:jc w:val="both"/>
    </w:pPr>
    <w:rPr>
      <w:rFonts w:ascii="Times New Roman" w:hAnsi="Times New Roman" w:eastAsia="宋体" w:cs="Times New Roman"/>
      <w:sz w:val="21"/>
      <w:szCs w:val="21"/>
      <w:lang w:val="en-US" w:eastAsia="zh-CN" w:bidi="ar-SA"/>
    </w:rPr>
  </w:style>
  <w:style w:type="character" w:customStyle="1" w:styleId="491">
    <w:name w:val="HTML 地址 Char"/>
    <w:basedOn w:val="81"/>
    <w:link w:val="36"/>
    <w:qFormat/>
    <w:uiPriority w:val="0"/>
    <w:rPr>
      <w:rFonts w:ascii="Courier New" w:hAnsi="Courier New"/>
      <w:i/>
      <w:iCs/>
      <w:kern w:val="2"/>
      <w:sz w:val="21"/>
      <w:szCs w:val="21"/>
    </w:rPr>
  </w:style>
  <w:style w:type="paragraph" w:customStyle="1" w:styleId="492">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493">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494">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95">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496">
    <w:name w:val="标准书眉_奇数页"/>
    <w:next w:val="1"/>
    <w:qFormat/>
    <w:uiPriority w:val="0"/>
    <w:pPr>
      <w:tabs>
        <w:tab w:val="center" w:pos="4154"/>
        <w:tab w:val="right" w:pos="8306"/>
      </w:tabs>
      <w:spacing w:after="120"/>
      <w:jc w:val="right"/>
    </w:pPr>
    <w:rPr>
      <w:rFonts w:ascii="Arial" w:hAnsi="Arial" w:eastAsia="宋体" w:cs="Times New Roman"/>
      <w:sz w:val="21"/>
      <w:szCs w:val="21"/>
      <w:lang w:val="en-US" w:eastAsia="zh-CN" w:bidi="ar-SA"/>
    </w:rPr>
  </w:style>
  <w:style w:type="paragraph" w:customStyle="1" w:styleId="497">
    <w:name w:val="标准书眉_偶数页"/>
    <w:basedOn w:val="496"/>
    <w:next w:val="1"/>
    <w:qFormat/>
    <w:uiPriority w:val="0"/>
    <w:pPr>
      <w:jc w:val="left"/>
    </w:pPr>
  </w:style>
  <w:style w:type="paragraph" w:customStyle="1" w:styleId="498">
    <w:name w:val="标准书眉一"/>
    <w:qFormat/>
    <w:uiPriority w:val="0"/>
    <w:pPr>
      <w:jc w:val="both"/>
    </w:pPr>
    <w:rPr>
      <w:rFonts w:ascii="Times New Roman" w:hAnsi="Times New Roman" w:eastAsia="宋体" w:cs="Times New Roman"/>
      <w:lang w:val="en-US" w:eastAsia="zh-CN" w:bidi="ar-SA"/>
    </w:rPr>
  </w:style>
  <w:style w:type="paragraph" w:customStyle="1" w:styleId="499">
    <w:name w:val="参考文献、索引标题"/>
    <w:basedOn w:val="488"/>
    <w:next w:val="1"/>
    <w:qFormat/>
    <w:uiPriority w:val="0"/>
    <w:pPr>
      <w:spacing w:after="200"/>
    </w:pPr>
    <w:rPr>
      <w:sz w:val="21"/>
    </w:rPr>
  </w:style>
  <w:style w:type="character" w:customStyle="1" w:styleId="500">
    <w:name w:val="发布"/>
    <w:qFormat/>
    <w:uiPriority w:val="0"/>
    <w:rPr>
      <w:rFonts w:ascii="黑体" w:eastAsia="黑体"/>
      <w:spacing w:val="22"/>
      <w:w w:val="100"/>
      <w:position w:val="3"/>
      <w:sz w:val="28"/>
    </w:rPr>
  </w:style>
  <w:style w:type="paragraph" w:customStyle="1" w:styleId="501">
    <w:name w:val="发布部门"/>
    <w:next w:val="487"/>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502">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503">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504">
    <w:name w:val="封面标准号2"/>
    <w:basedOn w:val="503"/>
    <w:qFormat/>
    <w:uiPriority w:val="0"/>
    <w:pPr>
      <w:framePr w:w="9138" w:h="1244" w:hRule="exact" w:wrap="auto" w:vAnchor="page" w:hAnchor="margin" w:y="2908"/>
      <w:adjustRightInd w:val="0"/>
      <w:spacing w:before="357" w:line="280" w:lineRule="exact"/>
    </w:pPr>
  </w:style>
  <w:style w:type="paragraph" w:customStyle="1" w:styleId="505">
    <w:name w:val="封面标准代替信息"/>
    <w:basedOn w:val="504"/>
    <w:qFormat/>
    <w:uiPriority w:val="0"/>
    <w:pPr>
      <w:framePr/>
      <w:spacing w:before="57"/>
    </w:pPr>
    <w:rPr>
      <w:rFonts w:ascii="宋体"/>
      <w:sz w:val="21"/>
    </w:rPr>
  </w:style>
  <w:style w:type="paragraph" w:customStyle="1" w:styleId="506">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507">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508">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509">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510">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511">
    <w:name w:val="封面正文"/>
    <w:qFormat/>
    <w:uiPriority w:val="0"/>
    <w:pPr>
      <w:jc w:val="both"/>
    </w:pPr>
    <w:rPr>
      <w:rFonts w:ascii="Times New Roman" w:hAnsi="Times New Roman" w:eastAsia="宋体" w:cs="Times New Roman"/>
      <w:lang w:val="en-US" w:eastAsia="zh-CN" w:bidi="ar-SA"/>
    </w:rPr>
  </w:style>
  <w:style w:type="paragraph" w:customStyle="1" w:styleId="512">
    <w:name w:val="附录标识"/>
    <w:basedOn w:val="488"/>
    <w:qFormat/>
    <w:uiPriority w:val="0"/>
    <w:pPr>
      <w:tabs>
        <w:tab w:val="left" w:pos="6405"/>
      </w:tabs>
      <w:spacing w:after="200"/>
    </w:pPr>
    <w:rPr>
      <w:sz w:val="21"/>
    </w:rPr>
  </w:style>
  <w:style w:type="paragraph" w:customStyle="1" w:styleId="513">
    <w:name w:val="附录表标题"/>
    <w:next w:val="487"/>
    <w:qFormat/>
    <w:uiPriority w:val="0"/>
    <w:pPr>
      <w:numPr>
        <w:ilvl w:val="0"/>
        <w:numId w:val="17"/>
      </w:numPr>
      <w:jc w:val="center"/>
      <w:textAlignment w:val="baseline"/>
    </w:pPr>
    <w:rPr>
      <w:rFonts w:ascii="黑体" w:hAnsi="Times New Roman" w:eastAsia="黑体" w:cs="Times New Roman"/>
      <w:kern w:val="21"/>
      <w:sz w:val="21"/>
      <w:lang w:val="en-US" w:eastAsia="zh-CN" w:bidi="ar-SA"/>
    </w:rPr>
  </w:style>
  <w:style w:type="paragraph" w:customStyle="1" w:styleId="514">
    <w:name w:val="附录章标题"/>
    <w:next w:val="487"/>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515">
    <w:name w:val="附录一级条标题"/>
    <w:basedOn w:val="514"/>
    <w:next w:val="487"/>
    <w:qFormat/>
    <w:uiPriority w:val="0"/>
    <w:pPr>
      <w:autoSpaceDN w:val="0"/>
      <w:spacing w:beforeLines="0" w:afterLines="0"/>
      <w:outlineLvl w:val="2"/>
    </w:pPr>
  </w:style>
  <w:style w:type="paragraph" w:customStyle="1" w:styleId="516">
    <w:name w:val="附录二级条标题"/>
    <w:basedOn w:val="515"/>
    <w:next w:val="487"/>
    <w:qFormat/>
    <w:uiPriority w:val="0"/>
    <w:pPr>
      <w:outlineLvl w:val="3"/>
    </w:pPr>
  </w:style>
  <w:style w:type="paragraph" w:customStyle="1" w:styleId="517">
    <w:name w:val="附录三级条标题"/>
    <w:basedOn w:val="516"/>
    <w:next w:val="487"/>
    <w:qFormat/>
    <w:uiPriority w:val="0"/>
    <w:pPr>
      <w:outlineLvl w:val="4"/>
    </w:pPr>
  </w:style>
  <w:style w:type="paragraph" w:customStyle="1" w:styleId="518">
    <w:name w:val="附录四级条标题"/>
    <w:basedOn w:val="517"/>
    <w:next w:val="487"/>
    <w:qFormat/>
    <w:uiPriority w:val="0"/>
    <w:pPr>
      <w:outlineLvl w:val="5"/>
    </w:pPr>
  </w:style>
  <w:style w:type="paragraph" w:customStyle="1" w:styleId="519">
    <w:name w:val="附录图标题"/>
    <w:next w:val="487"/>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520">
    <w:name w:val="附录五级条标题"/>
    <w:basedOn w:val="518"/>
    <w:next w:val="487"/>
    <w:qFormat/>
    <w:uiPriority w:val="0"/>
    <w:pPr>
      <w:outlineLvl w:val="6"/>
    </w:pPr>
  </w:style>
  <w:style w:type="character" w:customStyle="1" w:styleId="521">
    <w:name w:val="EmailStyle2031"/>
    <w:qFormat/>
    <w:uiPriority w:val="0"/>
    <w:rPr>
      <w:rFonts w:ascii="Arial" w:hAnsi="Arial" w:eastAsia="宋体" w:cs="Arial"/>
      <w:color w:val="auto"/>
      <w:sz w:val="20"/>
    </w:rPr>
  </w:style>
  <w:style w:type="character" w:customStyle="1" w:styleId="522">
    <w:name w:val="EmailStyle2041"/>
    <w:qFormat/>
    <w:uiPriority w:val="0"/>
    <w:rPr>
      <w:rFonts w:ascii="Arial" w:hAnsi="Arial" w:eastAsia="宋体" w:cs="Arial"/>
      <w:color w:val="auto"/>
      <w:sz w:val="20"/>
    </w:rPr>
  </w:style>
  <w:style w:type="paragraph" w:customStyle="1" w:styleId="523">
    <w:name w:val="列项●（二级）"/>
    <w:qFormat/>
    <w:uiPriority w:val="0"/>
    <w:pPr>
      <w:numPr>
        <w:ilvl w:val="0"/>
        <w:numId w:val="19"/>
      </w:numPr>
      <w:tabs>
        <w:tab w:val="left" w:pos="840"/>
      </w:tabs>
      <w:ind w:left="600" w:leftChars="400" w:hanging="200" w:hangingChars="200"/>
      <w:jc w:val="both"/>
    </w:pPr>
    <w:rPr>
      <w:rFonts w:ascii="宋体" w:hAnsi="Times New Roman" w:eastAsia="宋体" w:cs="Times New Roman"/>
      <w:sz w:val="21"/>
      <w:lang w:val="en-US" w:eastAsia="zh-CN" w:bidi="ar-SA"/>
    </w:rPr>
  </w:style>
  <w:style w:type="paragraph" w:customStyle="1" w:styleId="524">
    <w:name w:val="目次、标准名称标题"/>
    <w:basedOn w:val="488"/>
    <w:next w:val="487"/>
    <w:qFormat/>
    <w:uiPriority w:val="0"/>
    <w:pPr>
      <w:spacing w:line="460" w:lineRule="exact"/>
    </w:pPr>
  </w:style>
  <w:style w:type="paragraph" w:customStyle="1" w:styleId="52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526">
    <w:name w:val="其他发布部门"/>
    <w:basedOn w:val="1"/>
    <w:qFormat/>
    <w:uiPriority w:val="0"/>
    <w:pPr>
      <w:snapToGrid w:val="0"/>
      <w:spacing w:line="288" w:lineRule="auto"/>
    </w:pPr>
    <w:rPr>
      <w:rFonts w:ascii="Courier New" w:hAnsi="Courier New"/>
      <w:szCs w:val="21"/>
    </w:rPr>
  </w:style>
  <w:style w:type="paragraph" w:customStyle="1" w:styleId="527">
    <w:name w:val="三级条标题"/>
    <w:basedOn w:val="436"/>
    <w:next w:val="487"/>
    <w:qFormat/>
    <w:uiPriority w:val="0"/>
    <w:pPr>
      <w:numPr>
        <w:numId w:val="0"/>
      </w:numPr>
      <w:tabs>
        <w:tab w:val="clear" w:pos="1145"/>
      </w:tabs>
      <w:outlineLvl w:val="4"/>
    </w:pPr>
  </w:style>
  <w:style w:type="paragraph" w:customStyle="1" w:styleId="528">
    <w:name w:val="实施日期"/>
    <w:basedOn w:val="502"/>
    <w:qFormat/>
    <w:uiPriority w:val="0"/>
    <w:pPr>
      <w:framePr w:hSpace="0" w:wrap="around" w:xAlign="right"/>
      <w:jc w:val="right"/>
    </w:pPr>
  </w:style>
  <w:style w:type="paragraph" w:customStyle="1" w:styleId="529">
    <w:name w:val="示例"/>
    <w:next w:val="487"/>
    <w:qFormat/>
    <w:uiPriority w:val="0"/>
    <w:pPr>
      <w:tabs>
        <w:tab w:val="left" w:pos="816"/>
      </w:tabs>
      <w:ind w:firstLine="419" w:firstLineChars="233"/>
      <w:jc w:val="both"/>
    </w:pPr>
    <w:rPr>
      <w:rFonts w:ascii="宋体" w:hAnsi="Times New Roman" w:eastAsia="宋体" w:cs="Times New Roman"/>
      <w:sz w:val="18"/>
      <w:lang w:val="en-US" w:eastAsia="zh-CN" w:bidi="ar-SA"/>
    </w:rPr>
  </w:style>
  <w:style w:type="paragraph" w:customStyle="1" w:styleId="530">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531">
    <w:name w:val="四级条标题"/>
    <w:basedOn w:val="527"/>
    <w:next w:val="487"/>
    <w:qFormat/>
    <w:uiPriority w:val="0"/>
    <w:pPr>
      <w:outlineLvl w:val="5"/>
    </w:pPr>
  </w:style>
  <w:style w:type="paragraph" w:customStyle="1" w:styleId="532">
    <w:name w:val="条文脚注"/>
    <w:basedOn w:val="57"/>
    <w:qFormat/>
    <w:uiPriority w:val="0"/>
    <w:pPr>
      <w:spacing w:line="288" w:lineRule="auto"/>
      <w:ind w:left="780" w:leftChars="200" w:hanging="360" w:hangingChars="200"/>
      <w:jc w:val="both"/>
    </w:pPr>
    <w:rPr>
      <w:rFonts w:hAnsi="Courier New"/>
    </w:rPr>
  </w:style>
  <w:style w:type="paragraph" w:customStyle="1" w:styleId="533">
    <w:name w:val="图表脚注"/>
    <w:next w:val="487"/>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534">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535">
    <w:name w:val="五级条标题"/>
    <w:basedOn w:val="531"/>
    <w:next w:val="487"/>
    <w:qFormat/>
    <w:uiPriority w:val="0"/>
    <w:pPr>
      <w:outlineLvl w:val="6"/>
    </w:pPr>
  </w:style>
  <w:style w:type="paragraph" w:customStyle="1" w:styleId="536">
    <w:name w:val="正文图标题"/>
    <w:next w:val="487"/>
    <w:qFormat/>
    <w:uiPriority w:val="0"/>
    <w:pPr>
      <w:jc w:val="center"/>
    </w:pPr>
    <w:rPr>
      <w:rFonts w:ascii="黑体" w:hAnsi="Times New Roman" w:eastAsia="黑体" w:cs="Times New Roman"/>
      <w:sz w:val="21"/>
      <w:lang w:val="en-US" w:eastAsia="zh-CN" w:bidi="ar-SA"/>
    </w:rPr>
  </w:style>
  <w:style w:type="paragraph" w:customStyle="1" w:styleId="537">
    <w:name w:val="注："/>
    <w:next w:val="487"/>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538">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539">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character" w:customStyle="1" w:styleId="540">
    <w:name w:val="日期 Char"/>
    <w:basedOn w:val="81"/>
    <w:link w:val="44"/>
    <w:qFormat/>
    <w:uiPriority w:val="0"/>
    <w:rPr>
      <w:rFonts w:ascii="宋体" w:hAnsi="Courier New"/>
      <w:sz w:val="21"/>
    </w:rPr>
  </w:style>
  <w:style w:type="paragraph" w:customStyle="1" w:styleId="541">
    <w:name w:val="列项◆（三级）"/>
    <w:qFormat/>
    <w:uiPriority w:val="0"/>
    <w:pPr>
      <w:numPr>
        <w:ilvl w:val="0"/>
        <w:numId w:val="20"/>
      </w:numPr>
      <w:ind w:left="800" w:leftChars="600" w:hanging="200" w:hangingChars="200"/>
    </w:pPr>
    <w:rPr>
      <w:rFonts w:ascii="宋体" w:hAnsi="Times New Roman" w:eastAsia="宋体" w:cs="Times New Roman"/>
      <w:sz w:val="21"/>
      <w:lang w:val="en-US" w:eastAsia="zh-CN" w:bidi="ar-SA"/>
    </w:rPr>
  </w:style>
  <w:style w:type="paragraph" w:customStyle="1" w:styleId="542">
    <w:name w:val="编号列项（三级）"/>
    <w:qFormat/>
    <w:uiPriority w:val="0"/>
    <w:pPr>
      <w:ind w:left="800" w:leftChars="600" w:hanging="200" w:hangingChars="200"/>
    </w:pPr>
    <w:rPr>
      <w:rFonts w:ascii="宋体" w:hAnsi="Times New Roman" w:eastAsia="宋体" w:cs="Times New Roman"/>
      <w:sz w:val="21"/>
      <w:lang w:val="en-US" w:eastAsia="zh-CN" w:bidi="ar-SA"/>
    </w:rPr>
  </w:style>
  <w:style w:type="character" w:customStyle="1" w:styleId="543">
    <w:name w:val="正文文本 2 Char2"/>
    <w:basedOn w:val="81"/>
    <w:link w:val="66"/>
    <w:qFormat/>
    <w:uiPriority w:val="0"/>
    <w:rPr>
      <w:rFonts w:ascii="Courier New" w:hAnsi="Courier New"/>
      <w:kern w:val="2"/>
      <w:sz w:val="24"/>
    </w:rPr>
  </w:style>
  <w:style w:type="character" w:customStyle="1" w:styleId="544">
    <w:name w:val="正文文本缩进 2 Char2"/>
    <w:basedOn w:val="81"/>
    <w:link w:val="45"/>
    <w:qFormat/>
    <w:uiPriority w:val="0"/>
    <w:rPr>
      <w:rFonts w:ascii="Courier New" w:hAnsi="Courier New"/>
      <w:kern w:val="24"/>
      <w:sz w:val="21"/>
    </w:rPr>
  </w:style>
  <w:style w:type="character" w:customStyle="1" w:styleId="545">
    <w:name w:val="正文文本缩进 3 Char2"/>
    <w:basedOn w:val="81"/>
    <w:link w:val="60"/>
    <w:qFormat/>
    <w:uiPriority w:val="0"/>
    <w:rPr>
      <w:rFonts w:ascii="Courier New" w:hAnsi="Courier New"/>
      <w:kern w:val="2"/>
      <w:sz w:val="24"/>
    </w:rPr>
  </w:style>
  <w:style w:type="paragraph" w:customStyle="1" w:styleId="546">
    <w:name w:val="总标题"/>
    <w:basedOn w:val="71"/>
    <w:qFormat/>
    <w:uiPriority w:val="0"/>
    <w:pPr>
      <w:snapToGrid w:val="0"/>
      <w:spacing w:line="288" w:lineRule="auto"/>
    </w:pPr>
  </w:style>
  <w:style w:type="table" w:customStyle="1" w:styleId="547">
    <w:name w:val="表格样式1"/>
    <w:basedOn w:val="75"/>
    <w:qFormat/>
    <w:uiPriority w:val="0"/>
    <w:pPr>
      <w:snapToGrid w:val="0"/>
      <w:spacing w:line="312" w:lineRule="auto"/>
    </w:pPr>
    <w:rPr>
      <w:rFonts w:ascii="Courier New" w:hAnsi="Courier New"/>
      <w:sz w:val="18"/>
      <w:szCs w:val="18"/>
    </w:rPr>
    <w:tblPr>
      <w:tblBorders>
        <w:top w:val="single" w:color="auto" w:sz="6" w:space="0"/>
        <w:left w:val="single" w:color="auto" w:sz="6" w:space="0"/>
        <w:bottom w:val="single" w:color="auto" w:sz="6" w:space="0"/>
        <w:right w:val="single" w:color="auto" w:sz="6" w:space="0"/>
        <w:insideV w:val="single" w:color="auto" w:sz="6" w:space="0"/>
      </w:tblBorders>
      <w:tblCellMar>
        <w:top w:w="0" w:type="dxa"/>
        <w:left w:w="108" w:type="dxa"/>
        <w:bottom w:w="0" w:type="dxa"/>
        <w:right w:w="108" w:type="dxa"/>
      </w:tblCellMar>
    </w:tblPr>
    <w:trPr>
      <w:cantSplit/>
    </w:trPr>
    <w:tcPr>
      <w:tcMar>
        <w:top w:w="28" w:type="dxa"/>
        <w:left w:w="57" w:type="dxa"/>
        <w:bottom w:w="28" w:type="dxa"/>
        <w:right w:w="57" w:type="dxa"/>
      </w:tcMar>
    </w:tcPr>
    <w:tblStylePr w:type="firstRow">
      <w:pPr>
        <w:wordWrap/>
        <w:jc w:val="center"/>
      </w:pPr>
      <w:tblPr/>
      <w:trPr>
        <w:tblHeader/>
      </w:trPr>
      <w:tcPr>
        <w:tcBorders>
          <w:top w:val="single" w:color="auto" w:sz="6" w:space="0"/>
          <w:left w:val="single" w:color="auto" w:sz="6" w:space="0"/>
          <w:bottom w:val="single" w:color="auto" w:sz="6" w:space="0"/>
          <w:right w:val="single" w:color="auto" w:sz="6" w:space="0"/>
          <w:insideH w:val="nil"/>
          <w:insideV w:val="single" w:sz="6" w:space="0"/>
          <w:tl2br w:val="nil"/>
          <w:tr2bl w:val="nil"/>
        </w:tcBorders>
      </w:tcPr>
    </w:tblStylePr>
    <w:tblStylePr w:type="firstCol">
      <w:pPr>
        <w:wordWrap/>
        <w:jc w:val="center"/>
      </w:pPr>
    </w:tblStylePr>
  </w:style>
  <w:style w:type="character" w:customStyle="1" w:styleId="548">
    <w:name w:val="样式1 Char"/>
    <w:qFormat/>
    <w:uiPriority w:val="0"/>
    <w:rPr>
      <w:rFonts w:ascii="Times New Roman" w:hAnsi="Times New Roman" w:eastAsia="仿宋_GB2312" w:cs="Times New Roman"/>
      <w:kern w:val="0"/>
      <w:sz w:val="28"/>
      <w:szCs w:val="20"/>
    </w:rPr>
  </w:style>
  <w:style w:type="paragraph" w:customStyle="1" w:styleId="549">
    <w:name w:val="Char Char Char Char Char Char Char Char Char Char Char Char Char Char Char Char"/>
    <w:basedOn w:val="1"/>
    <w:qFormat/>
    <w:uiPriority w:val="0"/>
    <w:pPr>
      <w:widowControl/>
      <w:spacing w:beforeLines="50" w:line="360" w:lineRule="auto"/>
      <w:ind w:firstLine="560" w:firstLineChars="200"/>
    </w:pPr>
    <w:rPr>
      <w:sz w:val="28"/>
      <w:szCs w:val="28"/>
      <w:lang w:bidi="he-IL"/>
    </w:rPr>
  </w:style>
  <w:style w:type="paragraph" w:customStyle="1" w:styleId="550">
    <w:name w:val="标题 3 + 小四"/>
    <w:basedOn w:val="5"/>
    <w:next w:val="1"/>
    <w:qFormat/>
    <w:uiPriority w:val="0"/>
    <w:pPr>
      <w:numPr>
        <w:ilvl w:val="0"/>
        <w:numId w:val="0"/>
      </w:numPr>
      <w:spacing w:before="260" w:after="260" w:line="415" w:lineRule="auto"/>
    </w:pPr>
    <w:rPr>
      <w:rFonts w:ascii="Times New Roman" w:hAnsi="Times New Roman"/>
      <w:sz w:val="24"/>
    </w:rPr>
  </w:style>
  <w:style w:type="paragraph" w:customStyle="1" w:styleId="551">
    <w:name w:val="报告正文"/>
    <w:basedOn w:val="1"/>
    <w:link w:val="552"/>
    <w:qFormat/>
    <w:uiPriority w:val="0"/>
    <w:pPr>
      <w:tabs>
        <w:tab w:val="left" w:pos="1440"/>
      </w:tabs>
      <w:spacing w:line="360" w:lineRule="auto"/>
      <w:ind w:firstLine="640" w:firstLineChars="200"/>
    </w:pPr>
    <w:rPr>
      <w:rFonts w:hAnsi="宋体"/>
      <w:sz w:val="32"/>
      <w:szCs w:val="28"/>
    </w:rPr>
  </w:style>
  <w:style w:type="character" w:customStyle="1" w:styleId="552">
    <w:name w:val="报告正文 Char"/>
    <w:link w:val="551"/>
    <w:qFormat/>
    <w:uiPriority w:val="0"/>
    <w:rPr>
      <w:rFonts w:ascii="宋体" w:hAnsi="宋体"/>
      <w:kern w:val="2"/>
      <w:sz w:val="32"/>
      <w:szCs w:val="28"/>
    </w:rPr>
  </w:style>
  <w:style w:type="paragraph" w:customStyle="1" w:styleId="553">
    <w:name w:val="标题 91"/>
    <w:basedOn w:val="1"/>
    <w:next w:val="1"/>
    <w:qFormat/>
    <w:uiPriority w:val="0"/>
    <w:pPr>
      <w:keepNext/>
      <w:keepLines/>
      <w:spacing w:before="120"/>
      <w:jc w:val="center"/>
      <w:outlineLvl w:val="8"/>
    </w:pPr>
    <w:rPr>
      <w:rFonts w:hAnsi="宋体"/>
      <w:b/>
      <w:szCs w:val="21"/>
    </w:rPr>
  </w:style>
  <w:style w:type="paragraph" w:customStyle="1" w:styleId="554">
    <w:name w:val="标题 71"/>
    <w:basedOn w:val="1"/>
    <w:next w:val="1"/>
    <w:qFormat/>
    <w:uiPriority w:val="0"/>
    <w:pPr>
      <w:keepNext/>
      <w:keepLines/>
      <w:spacing w:before="360" w:after="120"/>
      <w:outlineLvl w:val="6"/>
    </w:pPr>
    <w:rPr>
      <w:rFonts w:ascii="Arial" w:hAnsi="Arial"/>
      <w:b/>
      <w:bCs/>
      <w:sz w:val="32"/>
      <w:szCs w:val="32"/>
    </w:rPr>
  </w:style>
  <w:style w:type="paragraph" w:customStyle="1" w:styleId="555">
    <w:name w:val="Char Char"/>
    <w:basedOn w:val="1"/>
    <w:qFormat/>
    <w:uiPriority w:val="0"/>
    <w:pPr>
      <w:spacing w:after="156" w:afterLines="50" w:line="360" w:lineRule="auto"/>
    </w:pPr>
    <w:rPr>
      <w:rFonts w:eastAsia="仿宋_GB2312"/>
    </w:rPr>
  </w:style>
  <w:style w:type="character" w:customStyle="1" w:styleId="556">
    <w:name w:val="纯文本 Char Char"/>
    <w:qFormat/>
    <w:uiPriority w:val="0"/>
    <w:rPr>
      <w:rFonts w:ascii="宋体" w:hAnsi="Courier New" w:eastAsia="宋体"/>
      <w:sz w:val="21"/>
      <w:szCs w:val="20"/>
    </w:rPr>
  </w:style>
  <w:style w:type="character" w:customStyle="1" w:styleId="557">
    <w:name w:val="font2"/>
    <w:qFormat/>
    <w:uiPriority w:val="0"/>
    <w:rPr>
      <w:rFonts w:eastAsia="宋体"/>
      <w:color w:val="000000"/>
      <w:kern w:val="2"/>
      <w:sz w:val="18"/>
      <w:szCs w:val="18"/>
      <w:lang w:val="en-US" w:eastAsia="zh-CN" w:bidi="ar-SA"/>
    </w:rPr>
  </w:style>
  <w:style w:type="character" w:customStyle="1" w:styleId="558">
    <w:name w:val="样式 标题 4 + 段后: 0.5 行19 Char Char"/>
    <w:link w:val="559"/>
    <w:qFormat/>
    <w:uiPriority w:val="0"/>
    <w:rPr>
      <w:rFonts w:cs="宋体"/>
      <w:b/>
      <w:bCs/>
      <w:sz w:val="21"/>
    </w:rPr>
  </w:style>
  <w:style w:type="paragraph" w:customStyle="1" w:styleId="559">
    <w:name w:val="样式 标题 4 + 段后: 0.5 行19"/>
    <w:basedOn w:val="6"/>
    <w:link w:val="558"/>
    <w:qFormat/>
    <w:uiPriority w:val="0"/>
    <w:pPr>
      <w:keepNext w:val="0"/>
      <w:tabs>
        <w:tab w:val="left" w:pos="864"/>
      </w:tabs>
      <w:spacing w:before="156" w:beforeLines="50" w:after="156" w:afterLines="50"/>
    </w:pPr>
    <w:rPr>
      <w:rFonts w:ascii="Times New Roman" w:hAnsi="Times New Roman" w:cs="宋体"/>
      <w:color w:val="auto"/>
      <w:kern w:val="0"/>
      <w:sz w:val="21"/>
      <w:szCs w:val="20"/>
    </w:rPr>
  </w:style>
  <w:style w:type="character" w:customStyle="1" w:styleId="560">
    <w:name w:val="纯文本 Char1"/>
    <w:basedOn w:val="81"/>
    <w:link w:val="40"/>
    <w:qFormat/>
    <w:uiPriority w:val="0"/>
    <w:rPr>
      <w:rFonts w:ascii="宋体" w:hAnsi="Courier New"/>
      <w:kern w:val="2"/>
      <w:sz w:val="21"/>
    </w:rPr>
  </w:style>
  <w:style w:type="paragraph" w:customStyle="1" w:styleId="561">
    <w:name w:val="标书的正文"/>
    <w:basedOn w:val="1"/>
    <w:qFormat/>
    <w:uiPriority w:val="0"/>
    <w:pPr>
      <w:spacing w:line="312" w:lineRule="auto"/>
      <w:ind w:firstLine="480" w:firstLineChars="200"/>
    </w:pPr>
    <w:rPr>
      <w:rFonts w:hAnsi="宋体" w:eastAsia="仿宋_GB2312"/>
    </w:rPr>
  </w:style>
  <w:style w:type="paragraph" w:customStyle="1" w:styleId="562">
    <w:name w:val="Char2"/>
    <w:basedOn w:val="1"/>
    <w:qFormat/>
    <w:uiPriority w:val="0"/>
    <w:pPr>
      <w:tabs>
        <w:tab w:val="left" w:pos="432"/>
      </w:tabs>
      <w:spacing w:before="156" w:beforeLines="50" w:after="156" w:afterLines="50"/>
      <w:ind w:left="432" w:hanging="432"/>
    </w:pPr>
  </w:style>
  <w:style w:type="paragraph" w:customStyle="1" w:styleId="563">
    <w:name w:val="段落正文"/>
    <w:basedOn w:val="1"/>
    <w:link w:val="929"/>
    <w:qFormat/>
    <w:uiPriority w:val="0"/>
    <w:pPr>
      <w:spacing w:before="156" w:beforeLines="50" w:line="360" w:lineRule="atLeast"/>
      <w:ind w:left="100" w:leftChars="100" w:firstLine="200" w:firstLineChars="200"/>
    </w:pPr>
    <w:rPr>
      <w:spacing w:val="2"/>
      <w:szCs w:val="20"/>
    </w:rPr>
  </w:style>
  <w:style w:type="paragraph" w:customStyle="1" w:styleId="564">
    <w:name w:val="Char11"/>
    <w:basedOn w:val="1"/>
    <w:qFormat/>
    <w:uiPriority w:val="0"/>
    <w:rPr>
      <w:rFonts w:ascii="仿宋_GB2312" w:eastAsia="仿宋_GB2312"/>
      <w:b/>
      <w:sz w:val="32"/>
      <w:szCs w:val="32"/>
    </w:rPr>
  </w:style>
  <w:style w:type="paragraph" w:customStyle="1" w:styleId="565">
    <w:name w:val="默认段落字体 Para Char Char Char Char Char Char Char"/>
    <w:basedOn w:val="1"/>
    <w:qFormat/>
    <w:uiPriority w:val="0"/>
    <w:rPr>
      <w:rFonts w:ascii="Tahoma" w:hAnsi="Tahoma"/>
      <w:szCs w:val="20"/>
    </w:rPr>
  </w:style>
  <w:style w:type="paragraph" w:customStyle="1" w:styleId="566">
    <w:name w:val="Char Char Char Char"/>
    <w:basedOn w:val="1"/>
    <w:qFormat/>
    <w:uiPriority w:val="0"/>
    <w:rPr>
      <w:rFonts w:ascii="Tahoma" w:hAnsi="Tahoma"/>
      <w:szCs w:val="20"/>
    </w:rPr>
  </w:style>
  <w:style w:type="paragraph" w:customStyle="1" w:styleId="567">
    <w:name w:val="样式 首行缩进:  0.74 厘米"/>
    <w:basedOn w:val="1"/>
    <w:qFormat/>
    <w:uiPriority w:val="0"/>
    <w:pPr>
      <w:spacing w:before="156" w:beforeLines="50" w:after="156" w:afterLines="50" w:line="360" w:lineRule="auto"/>
      <w:ind w:firstLine="420"/>
    </w:pPr>
    <w:rPr>
      <w:rFonts w:cs="宋体"/>
      <w:szCs w:val="20"/>
    </w:rPr>
  </w:style>
  <w:style w:type="paragraph" w:customStyle="1" w:styleId="568">
    <w:name w:val="样式 标题 5 + 黑体"/>
    <w:basedOn w:val="7"/>
    <w:qFormat/>
    <w:uiPriority w:val="0"/>
    <w:pPr>
      <w:keepNext w:val="0"/>
      <w:numPr>
        <w:numId w:val="0"/>
      </w:numPr>
      <w:tabs>
        <w:tab w:val="left" w:pos="1008"/>
      </w:tabs>
      <w:spacing w:before="50" w:after="0"/>
    </w:pPr>
    <w:rPr>
      <w:rFonts w:ascii="黑体" w:hAnsi="黑体" w:eastAsia="黑体"/>
      <w:b w:val="0"/>
      <w:bCs w:val="0"/>
      <w:sz w:val="21"/>
    </w:rPr>
  </w:style>
  <w:style w:type="paragraph" w:customStyle="1" w:styleId="569">
    <w:name w:val="样式 段落缩进2 小四 + 段前: 15.6 磅"/>
    <w:basedOn w:val="1"/>
    <w:qFormat/>
    <w:uiPriority w:val="0"/>
    <w:pPr>
      <w:spacing w:before="312" w:line="360" w:lineRule="auto"/>
      <w:ind w:firstLine="480" w:firstLineChars="200"/>
    </w:pPr>
    <w:rPr>
      <w:rFonts w:hAnsi="宋体"/>
      <w:szCs w:val="20"/>
    </w:rPr>
  </w:style>
  <w:style w:type="paragraph" w:customStyle="1" w:styleId="570">
    <w:name w:val="正文标准样式ty Char"/>
    <w:basedOn w:val="1"/>
    <w:qFormat/>
    <w:uiPriority w:val="0"/>
    <w:pPr>
      <w:spacing w:line="360" w:lineRule="auto"/>
      <w:ind w:firstLine="480" w:firstLineChars="200"/>
    </w:pPr>
    <w:rPr>
      <w:rFonts w:cs="宋体"/>
      <w:szCs w:val="20"/>
    </w:rPr>
  </w:style>
  <w:style w:type="paragraph" w:customStyle="1" w:styleId="571">
    <w:name w:val="列表段落1"/>
    <w:basedOn w:val="1"/>
    <w:qFormat/>
    <w:uiPriority w:val="34"/>
    <w:pPr>
      <w:spacing w:after="156" w:afterLines="50" w:line="360" w:lineRule="auto"/>
      <w:ind w:firstLine="420" w:firstLineChars="200"/>
    </w:pPr>
    <w:rPr>
      <w:rFonts w:hint="eastAsia" w:eastAsia="仿宋_GB2312"/>
    </w:rPr>
  </w:style>
  <w:style w:type="paragraph" w:customStyle="1" w:styleId="572">
    <w:name w:val="Char Char1 Char Char1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573">
    <w:name w:val="列出段落12"/>
    <w:basedOn w:val="1"/>
    <w:qFormat/>
    <w:uiPriority w:val="34"/>
    <w:pPr>
      <w:ind w:firstLine="420" w:firstLineChars="200"/>
    </w:pPr>
  </w:style>
  <w:style w:type="character" w:customStyle="1" w:styleId="574">
    <w:name w:val="批注文字 字符2"/>
    <w:basedOn w:val="81"/>
    <w:qFormat/>
    <w:uiPriority w:val="0"/>
    <w:rPr>
      <w:rFonts w:ascii="Times New Roman" w:hAnsi="Times New Roman" w:eastAsia="宋体"/>
      <w:sz w:val="24"/>
    </w:rPr>
  </w:style>
  <w:style w:type="paragraph" w:customStyle="1" w:styleId="575">
    <w:name w:val="修订3"/>
    <w:hidden/>
    <w:qFormat/>
    <w:uiPriority w:val="99"/>
    <w:rPr>
      <w:rFonts w:ascii="Times New Roman" w:hAnsi="Times New Roman" w:eastAsia="宋体" w:cs="Times New Roman"/>
      <w:kern w:val="2"/>
      <w:sz w:val="21"/>
      <w:szCs w:val="24"/>
      <w:lang w:val="en-US" w:eastAsia="zh-CN" w:bidi="ar-SA"/>
    </w:rPr>
  </w:style>
  <w:style w:type="paragraph" w:customStyle="1" w:styleId="576">
    <w:name w:val="表格式"/>
    <w:basedOn w:val="1"/>
    <w:link w:val="577"/>
    <w:qFormat/>
    <w:uiPriority w:val="0"/>
    <w:pPr>
      <w:spacing w:line="276" w:lineRule="auto"/>
      <w:jc w:val="center"/>
    </w:pPr>
    <w:rPr>
      <w:szCs w:val="22"/>
    </w:rPr>
  </w:style>
  <w:style w:type="character" w:customStyle="1" w:styleId="577">
    <w:name w:val="表格式 Char"/>
    <w:link w:val="576"/>
    <w:qFormat/>
    <w:uiPriority w:val="0"/>
    <w:rPr>
      <w:rFonts w:ascii="宋体"/>
      <w:kern w:val="2"/>
      <w:sz w:val="21"/>
      <w:szCs w:val="22"/>
    </w:rPr>
  </w:style>
  <w:style w:type="paragraph" w:customStyle="1" w:styleId="578">
    <w:name w:val="样式 标题 8表"/>
    <w:basedOn w:val="10"/>
    <w:qFormat/>
    <w:uiPriority w:val="0"/>
    <w:pPr>
      <w:keepNext w:val="0"/>
      <w:numPr>
        <w:ilvl w:val="0"/>
        <w:numId w:val="0"/>
      </w:numPr>
    </w:pPr>
    <w:rPr>
      <w:bCs/>
      <w:color w:val="000000" w:themeColor="text1"/>
      <w14:textFill>
        <w14:solidFill>
          <w14:schemeClr w14:val="tx1"/>
        </w14:solidFill>
      </w14:textFill>
    </w:rPr>
  </w:style>
  <w:style w:type="table" w:customStyle="1" w:styleId="579">
    <w:name w:val="网格表 2 - 着色 51"/>
    <w:basedOn w:val="75"/>
    <w:qFormat/>
    <w:uiPriority w:val="47"/>
    <w:rPr>
      <w:rFonts w:ascii="Calibri" w:hAnsi="Calibri"/>
    </w:rPr>
    <w:tblPr>
      <w:tblBorders>
        <w:top w:val="single" w:color="92CDDC" w:themeColor="accent5" w:themeTint="99" w:sz="2" w:space="0"/>
        <w:bottom w:val="single" w:color="92CDDC" w:themeColor="accent5" w:themeTint="99" w:sz="2" w:space="0"/>
        <w:insideH w:val="single" w:color="92CDDC" w:themeColor="accent5" w:themeTint="99" w:sz="2" w:space="0"/>
        <w:insideV w:val="single" w:color="92CDDC" w:themeColor="accent5" w:themeTint="99" w:sz="2" w:space="0"/>
      </w:tblBorders>
      <w:tblCellMar>
        <w:top w:w="0" w:type="dxa"/>
        <w:left w:w="108" w:type="dxa"/>
        <w:bottom w:w="0" w:type="dxa"/>
        <w:right w:w="108" w:type="dxa"/>
      </w:tblCellMar>
    </w:tblPr>
    <w:tblStylePr w:type="firstRow">
      <w:rPr>
        <w:b/>
        <w:bCs/>
      </w:rPr>
      <w:tcPr>
        <w:tcBorders>
          <w:top w:val="nil"/>
          <w:bottom w:val="single" w:color="92CDDC" w:themeColor="accent5" w:themeTint="99" w:sz="12" w:space="0"/>
          <w:insideH w:val="nil"/>
          <w:insideV w:val="nil"/>
        </w:tcBorders>
        <w:shd w:val="clear" w:color="auto" w:fill="FFFFFF" w:themeFill="background1"/>
      </w:tcPr>
    </w:tblStylePr>
    <w:tblStylePr w:type="lastRow">
      <w:rPr>
        <w:b/>
        <w:bCs/>
      </w:rPr>
      <w:tcPr>
        <w:tcBorders>
          <w:top w:val="double" w:color="92CDDC" w:themeColor="accent5"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DAEEF3" w:themeFill="accent5" w:themeFillTint="33"/>
      </w:tcPr>
    </w:tblStylePr>
    <w:tblStylePr w:type="band1Horz">
      <w:tcPr>
        <w:shd w:val="clear" w:color="auto" w:fill="DAEEF3" w:themeFill="accent5" w:themeFillTint="33"/>
      </w:tcPr>
    </w:tblStylePr>
  </w:style>
  <w:style w:type="character" w:customStyle="1" w:styleId="580">
    <w:name w:val="列出段落 Char Char"/>
    <w:qFormat/>
    <w:uiPriority w:val="34"/>
    <w:rPr>
      <w:rFonts w:ascii="宋体"/>
      <w:kern w:val="2"/>
      <w:sz w:val="24"/>
      <w:szCs w:val="24"/>
    </w:rPr>
  </w:style>
  <w:style w:type="paragraph" w:customStyle="1" w:styleId="581">
    <w:name w:val="样式 列表段落符号"/>
    <w:basedOn w:val="135"/>
    <w:qFormat/>
    <w:uiPriority w:val="0"/>
  </w:style>
  <w:style w:type="character" w:customStyle="1" w:styleId="582">
    <w:name w:val="未处理的提及6"/>
    <w:basedOn w:val="81"/>
    <w:semiHidden/>
    <w:unhideWhenUsed/>
    <w:qFormat/>
    <w:uiPriority w:val="99"/>
    <w:rPr>
      <w:color w:val="605E5C"/>
      <w:shd w:val="clear" w:color="auto" w:fill="E1DFDD"/>
    </w:rPr>
  </w:style>
  <w:style w:type="character" w:customStyle="1" w:styleId="583">
    <w:name w:val="未处理的提及7"/>
    <w:basedOn w:val="81"/>
    <w:semiHidden/>
    <w:unhideWhenUsed/>
    <w:qFormat/>
    <w:uiPriority w:val="99"/>
    <w:rPr>
      <w:color w:val="605E5C"/>
      <w:shd w:val="clear" w:color="auto" w:fill="E1DFDD"/>
    </w:rPr>
  </w:style>
  <w:style w:type="paragraph" w:customStyle="1" w:styleId="584">
    <w:name w:val="市数办正文"/>
    <w:basedOn w:val="1"/>
    <w:qFormat/>
    <w:uiPriority w:val="0"/>
    <w:pPr>
      <w:spacing w:line="360" w:lineRule="auto"/>
      <w:ind w:firstLine="480" w:firstLineChars="200"/>
    </w:pPr>
    <w:rPr>
      <w:rFonts w:cs="Arial" w:asciiTheme="minorEastAsia" w:hAnsiTheme="minorEastAsia" w:eastAsiaTheme="minorEastAsia"/>
      <w:szCs w:val="28"/>
    </w:rPr>
  </w:style>
  <w:style w:type="paragraph" w:customStyle="1" w:styleId="585">
    <w:name w:val="标题2"/>
    <w:basedOn w:val="4"/>
    <w:qFormat/>
    <w:uiPriority w:val="0"/>
    <w:pPr>
      <w:numPr>
        <w:numId w:val="21"/>
      </w:numPr>
      <w:spacing w:before="260" w:after="260" w:line="416" w:lineRule="auto"/>
    </w:pPr>
    <w:rPr>
      <w:rFonts w:cstheme="majorBidi"/>
      <w:sz w:val="32"/>
    </w:rPr>
  </w:style>
  <w:style w:type="paragraph" w:customStyle="1" w:styleId="586">
    <w:name w:val="标题3"/>
    <w:basedOn w:val="5"/>
    <w:qFormat/>
    <w:uiPriority w:val="0"/>
    <w:pPr>
      <w:numPr>
        <w:numId w:val="21"/>
      </w:numPr>
      <w:spacing w:before="260" w:after="260" w:line="416" w:lineRule="auto"/>
    </w:pPr>
    <w:rPr>
      <w:iCs/>
      <w:sz w:val="30"/>
      <w:szCs w:val="30"/>
    </w:rPr>
  </w:style>
  <w:style w:type="character" w:customStyle="1" w:styleId="587">
    <w:name w:val="标题 2 字符"/>
    <w:qFormat/>
    <w:uiPriority w:val="0"/>
    <w:rPr>
      <w:rFonts w:ascii="Arial" w:hAnsi="Arial"/>
      <w:b/>
      <w:bCs/>
      <w:kern w:val="2"/>
      <w:sz w:val="30"/>
      <w:szCs w:val="32"/>
    </w:rPr>
  </w:style>
  <w:style w:type="character" w:customStyle="1" w:styleId="588">
    <w:name w:val="标题 3 字符"/>
    <w:qFormat/>
    <w:uiPriority w:val="0"/>
    <w:rPr>
      <w:rFonts w:ascii="Arial" w:hAnsi="Arial"/>
      <w:b/>
      <w:bCs/>
      <w:kern w:val="2"/>
      <w:sz w:val="28"/>
      <w:szCs w:val="32"/>
    </w:rPr>
  </w:style>
  <w:style w:type="paragraph" w:customStyle="1" w:styleId="589">
    <w:name w:val="*正文"/>
    <w:basedOn w:val="1"/>
    <w:link w:val="614"/>
    <w:qFormat/>
    <w:uiPriority w:val="0"/>
    <w:pPr>
      <w:ind w:firstLine="480"/>
    </w:pPr>
  </w:style>
  <w:style w:type="character" w:customStyle="1" w:styleId="590">
    <w:name w:val="批注框文本 Char2"/>
    <w:basedOn w:val="81"/>
    <w:semiHidden/>
    <w:qFormat/>
    <w:uiPriority w:val="99"/>
    <w:rPr>
      <w:rFonts w:ascii="Times New Roman" w:hAnsi="Times New Roman" w:eastAsia="宋体" w:cs="Times New Roman"/>
      <w:sz w:val="18"/>
      <w:szCs w:val="18"/>
    </w:rPr>
  </w:style>
  <w:style w:type="character" w:customStyle="1" w:styleId="591">
    <w:name w:val="正文-2字符首行缩进 Char"/>
    <w:link w:val="592"/>
    <w:qFormat/>
    <w:locked/>
    <w:uiPriority w:val="0"/>
    <w:rPr>
      <w:rFonts w:ascii="仿宋_GB2312" w:hAnsi="Calibri" w:eastAsia="仿宋_GB2312"/>
      <w:sz w:val="28"/>
    </w:rPr>
  </w:style>
  <w:style w:type="paragraph" w:customStyle="1" w:styleId="592">
    <w:name w:val="正文-2字符首行缩进"/>
    <w:basedOn w:val="1"/>
    <w:link w:val="591"/>
    <w:qFormat/>
    <w:uiPriority w:val="0"/>
    <w:pPr>
      <w:spacing w:line="360" w:lineRule="auto"/>
      <w:ind w:firstLine="200" w:firstLineChars="200"/>
    </w:pPr>
    <w:rPr>
      <w:rFonts w:ascii="仿宋_GB2312" w:hAnsi="Calibri" w:eastAsia="仿宋_GB2312"/>
      <w:kern w:val="0"/>
      <w:sz w:val="28"/>
      <w:szCs w:val="20"/>
    </w:rPr>
  </w:style>
  <w:style w:type="character" w:customStyle="1" w:styleId="593">
    <w:name w:val="正文文本 字符1"/>
    <w:qFormat/>
    <w:uiPriority w:val="0"/>
    <w:rPr>
      <w:kern w:val="2"/>
      <w:sz w:val="21"/>
      <w:szCs w:val="24"/>
    </w:rPr>
  </w:style>
  <w:style w:type="paragraph" w:customStyle="1" w:styleId="594">
    <w:name w:val="引用1"/>
    <w:basedOn w:val="1"/>
    <w:next w:val="1"/>
    <w:qFormat/>
    <w:uiPriority w:val="29"/>
    <w:pPr>
      <w:spacing w:before="200" w:after="160"/>
      <w:ind w:left="864" w:right="864"/>
      <w:jc w:val="center"/>
    </w:pPr>
    <w:rPr>
      <w:i/>
      <w:iCs/>
      <w:color w:val="404040"/>
    </w:rPr>
  </w:style>
  <w:style w:type="character" w:customStyle="1" w:styleId="595">
    <w:name w:val="引用 字符1"/>
    <w:basedOn w:val="81"/>
    <w:qFormat/>
    <w:uiPriority w:val="29"/>
    <w:rPr>
      <w:rFonts w:ascii="Times New Roman" w:hAnsi="Times New Roman" w:eastAsia="宋体" w:cs="Times New Roman"/>
      <w:i/>
      <w:iCs/>
      <w:color w:val="404040" w:themeColor="text1" w:themeTint="BF"/>
      <w:szCs w:val="24"/>
      <w14:textFill>
        <w14:solidFill>
          <w14:schemeClr w14:val="tx1">
            <w14:lumMod w14:val="75000"/>
            <w14:lumOff w14:val="25000"/>
          </w14:schemeClr>
        </w14:solidFill>
      </w14:textFill>
    </w:rPr>
  </w:style>
  <w:style w:type="character" w:customStyle="1" w:styleId="596">
    <w:name w:val="font01"/>
    <w:basedOn w:val="81"/>
    <w:qFormat/>
    <w:uiPriority w:val="0"/>
    <w:rPr>
      <w:rFonts w:hint="eastAsia" w:ascii="微软雅黑" w:hAnsi="微软雅黑" w:eastAsia="微软雅黑" w:cs="微软雅黑"/>
      <w:color w:val="000000"/>
      <w:sz w:val="22"/>
      <w:szCs w:val="22"/>
      <w:u w:val="none"/>
    </w:rPr>
  </w:style>
  <w:style w:type="paragraph" w:customStyle="1" w:styleId="597">
    <w:name w:val="正文样式"/>
    <w:basedOn w:val="1"/>
    <w:qFormat/>
    <w:uiPriority w:val="7"/>
    <w:pPr>
      <w:ind w:firstLine="480"/>
    </w:pPr>
    <w:rPr>
      <w:lang w:val="zh-CN"/>
    </w:rPr>
  </w:style>
  <w:style w:type="table" w:customStyle="1" w:styleId="598">
    <w:name w:val="网格型9"/>
    <w:basedOn w:val="75"/>
    <w:qFormat/>
    <w:uiPriority w:val="39"/>
    <w:rPr>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99">
    <w:name w:val="apple-converted-space"/>
    <w:qFormat/>
    <w:uiPriority w:val="0"/>
  </w:style>
  <w:style w:type="character" w:customStyle="1" w:styleId="600">
    <w:name w:val="标题 1 字符1"/>
    <w:qFormat/>
    <w:locked/>
    <w:uiPriority w:val="9"/>
    <w:rPr>
      <w:rFonts w:ascii="Arial" w:hAnsi="Arial"/>
      <w:b/>
      <w:color w:val="FFFFFF"/>
      <w:kern w:val="44"/>
      <w:sz w:val="24"/>
      <w:szCs w:val="21"/>
    </w:rPr>
  </w:style>
  <w:style w:type="character" w:customStyle="1" w:styleId="601">
    <w:name w:val="标题 7 字符1"/>
    <w:qFormat/>
    <w:locked/>
    <w:uiPriority w:val="0"/>
    <w:rPr>
      <w:rFonts w:ascii="Arial" w:hAnsi="Arial" w:cs="Arial"/>
      <w:b/>
      <w:bCs/>
      <w:kern w:val="2"/>
      <w:sz w:val="32"/>
      <w:szCs w:val="32"/>
    </w:rPr>
  </w:style>
  <w:style w:type="character" w:customStyle="1" w:styleId="602">
    <w:name w:val="页脚 字符1"/>
    <w:basedOn w:val="81"/>
    <w:qFormat/>
    <w:uiPriority w:val="99"/>
    <w:rPr>
      <w:rFonts w:ascii="宋体"/>
      <w:kern w:val="2"/>
      <w:sz w:val="18"/>
      <w:szCs w:val="18"/>
    </w:rPr>
  </w:style>
  <w:style w:type="character" w:customStyle="1" w:styleId="603">
    <w:name w:val="批注框文本 字符1"/>
    <w:qFormat/>
    <w:uiPriority w:val="99"/>
    <w:rPr>
      <w:kern w:val="2"/>
      <w:sz w:val="18"/>
      <w:szCs w:val="18"/>
    </w:rPr>
  </w:style>
  <w:style w:type="paragraph" w:customStyle="1" w:styleId="604">
    <w:name w:val="正文（正式）"/>
    <w:basedOn w:val="1"/>
    <w:qFormat/>
    <w:uiPriority w:val="0"/>
    <w:pPr>
      <w:widowControl/>
      <w:spacing w:after="160" w:line="240" w:lineRule="exact"/>
      <w:jc w:val="left"/>
    </w:pPr>
    <w:rPr>
      <w:rFonts w:ascii="Verdana" w:hAnsi="Verdana" w:eastAsia="仿宋_GB2312"/>
      <w:kern w:val="0"/>
      <w:sz w:val="28"/>
      <w:szCs w:val="20"/>
      <w:lang w:eastAsia="en-US"/>
    </w:rPr>
  </w:style>
  <w:style w:type="character" w:customStyle="1" w:styleId="605">
    <w:name w:val="副标题 Char"/>
    <w:basedOn w:val="81"/>
    <w:link w:val="54"/>
    <w:qFormat/>
    <w:uiPriority w:val="0"/>
    <w:rPr>
      <w:rFonts w:ascii="Cambria" w:hAnsi="Cambria"/>
      <w:b/>
      <w:bCs/>
      <w:kern w:val="28"/>
      <w:sz w:val="32"/>
      <w:szCs w:val="32"/>
    </w:rPr>
  </w:style>
  <w:style w:type="paragraph" w:customStyle="1" w:styleId="606">
    <w:name w:val="可研正文"/>
    <w:basedOn w:val="1"/>
    <w:link w:val="607"/>
    <w:qFormat/>
    <w:uiPriority w:val="0"/>
    <w:pPr>
      <w:numPr>
        <w:ilvl w:val="0"/>
        <w:numId w:val="22"/>
      </w:numPr>
      <w:tabs>
        <w:tab w:val="left" w:pos="425"/>
        <w:tab w:val="left" w:pos="900"/>
        <w:tab w:val="clear" w:pos="987"/>
      </w:tabs>
      <w:spacing w:line="360" w:lineRule="auto"/>
      <w:ind w:left="900" w:hanging="425"/>
    </w:pPr>
    <w:rPr>
      <w:rFonts w:ascii="仿宋_GB2312" w:hAnsi="宋体" w:eastAsia="仿宋_GB2312"/>
      <w:bCs/>
      <w:sz w:val="28"/>
      <w:szCs w:val="28"/>
      <w:lang w:val="zh-CN"/>
    </w:rPr>
  </w:style>
  <w:style w:type="character" w:customStyle="1" w:styleId="607">
    <w:name w:val="可研正文 Char"/>
    <w:link w:val="606"/>
    <w:qFormat/>
    <w:uiPriority w:val="0"/>
    <w:rPr>
      <w:rFonts w:ascii="仿宋_GB2312" w:hAnsi="宋体" w:eastAsia="仿宋_GB2312"/>
      <w:bCs/>
      <w:kern w:val="2"/>
      <w:sz w:val="28"/>
      <w:szCs w:val="28"/>
      <w:lang w:val="zh-CN" w:eastAsia="zh-CN"/>
    </w:rPr>
  </w:style>
  <w:style w:type="paragraph" w:customStyle="1" w:styleId="608">
    <w:name w:val="段落"/>
    <w:link w:val="609"/>
    <w:qFormat/>
    <w:uiPriority w:val="0"/>
    <w:pPr>
      <w:adjustRightInd w:val="0"/>
      <w:snapToGrid w:val="0"/>
      <w:spacing w:before="120" w:after="120" w:line="360" w:lineRule="auto"/>
      <w:ind w:firstLine="480" w:firstLineChars="200"/>
      <w:jc w:val="both"/>
    </w:pPr>
    <w:rPr>
      <w:rFonts w:ascii="宋体" w:hAnsi="宋体" w:eastAsia="宋体" w:cs="Times New Roman"/>
      <w:kern w:val="2"/>
      <w:sz w:val="24"/>
      <w:szCs w:val="24"/>
      <w:lang w:val="en-US" w:eastAsia="zh-CN" w:bidi="ar-SA"/>
    </w:rPr>
  </w:style>
  <w:style w:type="character" w:customStyle="1" w:styleId="609">
    <w:name w:val="段落 Char1"/>
    <w:link w:val="608"/>
    <w:qFormat/>
    <w:uiPriority w:val="0"/>
    <w:rPr>
      <w:rFonts w:ascii="宋体" w:hAnsi="宋体"/>
      <w:kern w:val="2"/>
      <w:sz w:val="24"/>
      <w:szCs w:val="24"/>
    </w:rPr>
  </w:style>
  <w:style w:type="paragraph" w:customStyle="1" w:styleId="610">
    <w:name w:val="一级缩进"/>
    <w:link w:val="611"/>
    <w:qFormat/>
    <w:uiPriority w:val="0"/>
    <w:pPr>
      <w:numPr>
        <w:ilvl w:val="0"/>
        <w:numId w:val="23"/>
      </w:numPr>
      <w:tabs>
        <w:tab w:val="left" w:pos="900"/>
        <w:tab w:val="clear" w:pos="710"/>
      </w:tabs>
      <w:adjustRightInd w:val="0"/>
      <w:snapToGrid w:val="0"/>
      <w:spacing w:before="120" w:after="120" w:line="360" w:lineRule="auto"/>
      <w:ind w:left="900" w:hanging="420"/>
      <w:jc w:val="both"/>
    </w:pPr>
    <w:rPr>
      <w:rFonts w:ascii="Times New Roman" w:hAnsi="Times New Roman" w:eastAsia="仿宋_GB2312" w:cs="Times New Roman"/>
      <w:kern w:val="2"/>
      <w:sz w:val="24"/>
      <w:szCs w:val="24"/>
      <w:lang w:val="en-US" w:eastAsia="zh-CN" w:bidi="ar-SA"/>
    </w:rPr>
  </w:style>
  <w:style w:type="character" w:customStyle="1" w:styleId="611">
    <w:name w:val="一级缩进 Char"/>
    <w:link w:val="610"/>
    <w:qFormat/>
    <w:uiPriority w:val="0"/>
    <w:rPr>
      <w:rFonts w:eastAsia="仿宋_GB2312"/>
      <w:kern w:val="2"/>
      <w:sz w:val="24"/>
      <w:szCs w:val="24"/>
    </w:rPr>
  </w:style>
  <w:style w:type="paragraph" w:customStyle="1" w:styleId="612">
    <w:name w:val="表格样式居中"/>
    <w:link w:val="613"/>
    <w:qFormat/>
    <w:uiPriority w:val="0"/>
    <w:pPr>
      <w:adjustRightInd w:val="0"/>
      <w:snapToGrid w:val="0"/>
      <w:jc w:val="center"/>
    </w:pPr>
    <w:rPr>
      <w:rFonts w:ascii="Times New Roman" w:hAnsi="Times New Roman" w:eastAsia="仿宋_GB2312" w:cs="Times New Roman"/>
      <w:bCs/>
      <w:kern w:val="44"/>
      <w:sz w:val="21"/>
      <w:szCs w:val="44"/>
      <w:lang w:val="en-US" w:eastAsia="zh-CN" w:bidi="ar-SA"/>
    </w:rPr>
  </w:style>
  <w:style w:type="character" w:customStyle="1" w:styleId="613">
    <w:name w:val="表格样式居中 Char"/>
    <w:link w:val="612"/>
    <w:qFormat/>
    <w:uiPriority w:val="0"/>
    <w:rPr>
      <w:rFonts w:eastAsia="仿宋_GB2312"/>
      <w:bCs/>
      <w:kern w:val="44"/>
      <w:sz w:val="21"/>
      <w:szCs w:val="44"/>
    </w:rPr>
  </w:style>
  <w:style w:type="character" w:customStyle="1" w:styleId="614">
    <w:name w:val="*正文 Char"/>
    <w:link w:val="589"/>
    <w:qFormat/>
    <w:locked/>
    <w:uiPriority w:val="0"/>
    <w:rPr>
      <w:kern w:val="2"/>
      <w:sz w:val="21"/>
      <w:szCs w:val="24"/>
    </w:rPr>
  </w:style>
  <w:style w:type="paragraph" w:customStyle="1" w:styleId="615">
    <w:name w:val="列出段落11"/>
    <w:basedOn w:val="1"/>
    <w:qFormat/>
    <w:uiPriority w:val="34"/>
    <w:pPr>
      <w:ind w:firstLine="420" w:firstLineChars="200"/>
    </w:pPr>
    <w:rPr>
      <w:rFonts w:ascii="Calibri" w:hAnsi="Calibri"/>
      <w:szCs w:val="22"/>
    </w:rPr>
  </w:style>
  <w:style w:type="paragraph" w:customStyle="1" w:styleId="616">
    <w:name w:val="a0"/>
    <w:basedOn w:val="1"/>
    <w:qFormat/>
    <w:uiPriority w:val="0"/>
    <w:pPr>
      <w:numPr>
        <w:ilvl w:val="0"/>
        <w:numId w:val="24"/>
      </w:numPr>
      <w:tabs>
        <w:tab w:val="left" w:pos="900"/>
        <w:tab w:val="left" w:pos="1050"/>
      </w:tabs>
      <w:ind w:left="900" w:firstLine="420" w:firstLineChars="175"/>
    </w:pPr>
    <w:rPr>
      <w:rFonts w:hAnsi="宋体"/>
    </w:rPr>
  </w:style>
  <w:style w:type="paragraph" w:customStyle="1" w:styleId="617">
    <w:name w:val="正文-段落"/>
    <w:qFormat/>
    <w:uiPriority w:val="0"/>
    <w:pPr>
      <w:spacing w:line="360" w:lineRule="auto"/>
      <w:ind w:firstLine="200" w:firstLineChars="200"/>
    </w:pPr>
    <w:rPr>
      <w:rFonts w:ascii="Times New Roman" w:hAnsi="Times New Roman" w:eastAsia="宋体" w:cs="宋体"/>
      <w:sz w:val="24"/>
      <w:szCs w:val="24"/>
      <w:lang w:val="en-GB" w:eastAsia="zh-CN" w:bidi="ar-SA"/>
    </w:rPr>
  </w:style>
  <w:style w:type="character" w:customStyle="1" w:styleId="618">
    <w:name w:val="!图表的题注 alt+z Char Char"/>
    <w:link w:val="619"/>
    <w:qFormat/>
    <w:uiPriority w:val="0"/>
    <w:rPr>
      <w:rFonts w:ascii="Arial" w:hAnsi="Arial" w:eastAsia="黑体" w:cs="Arial"/>
    </w:rPr>
  </w:style>
  <w:style w:type="paragraph" w:customStyle="1" w:styleId="619">
    <w:name w:val="!图表的题注 alt+z"/>
    <w:link w:val="618"/>
    <w:qFormat/>
    <w:uiPriority w:val="0"/>
    <w:pPr>
      <w:spacing w:before="156" w:beforeLines="50" w:after="156" w:afterLines="50"/>
      <w:jc w:val="center"/>
    </w:pPr>
    <w:rPr>
      <w:rFonts w:ascii="Arial" w:hAnsi="Arial" w:eastAsia="黑体" w:cs="Arial"/>
      <w:lang w:val="en-US" w:eastAsia="zh-CN" w:bidi="ar-SA"/>
    </w:rPr>
  </w:style>
  <w:style w:type="character" w:customStyle="1" w:styleId="620">
    <w:name w:val="表格文字 Char"/>
    <w:link w:val="621"/>
    <w:qFormat/>
    <w:uiPriority w:val="0"/>
    <w:rPr>
      <w:rFonts w:ascii="Arial" w:hAnsi="Arial" w:eastAsia="仿宋_GB2312"/>
      <w:kern w:val="2"/>
      <w:sz w:val="28"/>
    </w:rPr>
  </w:style>
  <w:style w:type="paragraph" w:customStyle="1" w:styleId="621">
    <w:name w:val="表格文字"/>
    <w:basedOn w:val="1"/>
    <w:link w:val="620"/>
    <w:qFormat/>
    <w:uiPriority w:val="0"/>
    <w:rPr>
      <w:rFonts w:ascii="Arial" w:hAnsi="Arial" w:eastAsia="仿宋_GB2312"/>
      <w:sz w:val="28"/>
      <w:szCs w:val="20"/>
    </w:rPr>
  </w:style>
  <w:style w:type="paragraph" w:customStyle="1" w:styleId="622">
    <w:name w:val="表格标题"/>
    <w:basedOn w:val="1"/>
    <w:next w:val="1"/>
    <w:qFormat/>
    <w:uiPriority w:val="0"/>
    <w:pPr>
      <w:spacing w:line="360" w:lineRule="atLeast"/>
      <w:jc w:val="center"/>
      <w:textAlignment w:val="baseline"/>
    </w:pPr>
    <w:rPr>
      <w:b/>
    </w:rPr>
  </w:style>
  <w:style w:type="character" w:customStyle="1" w:styleId="623">
    <w:name w:val="大汉方案正文 Char Char Char"/>
    <w:link w:val="624"/>
    <w:qFormat/>
    <w:uiPriority w:val="0"/>
    <w:rPr>
      <w:rFonts w:ascii="Arial" w:hAnsi="Arial"/>
      <w:kern w:val="2"/>
      <w:sz w:val="24"/>
      <w:szCs w:val="24"/>
    </w:rPr>
  </w:style>
  <w:style w:type="paragraph" w:customStyle="1" w:styleId="624">
    <w:name w:val="大汉方案正文 Char"/>
    <w:basedOn w:val="1"/>
    <w:link w:val="623"/>
    <w:qFormat/>
    <w:uiPriority w:val="0"/>
    <w:pPr>
      <w:spacing w:line="360" w:lineRule="auto"/>
      <w:ind w:firstLine="200" w:firstLineChars="200"/>
    </w:pPr>
    <w:rPr>
      <w:rFonts w:ascii="Arial" w:hAnsi="Arial"/>
    </w:rPr>
  </w:style>
  <w:style w:type="paragraph" w:customStyle="1" w:styleId="625">
    <w:name w:val="副"/>
    <w:basedOn w:val="4"/>
    <w:link w:val="626"/>
    <w:qFormat/>
    <w:uiPriority w:val="0"/>
    <w:pPr>
      <w:numPr>
        <w:ilvl w:val="0"/>
        <w:numId w:val="0"/>
      </w:numPr>
    </w:pPr>
  </w:style>
  <w:style w:type="character" w:customStyle="1" w:styleId="626">
    <w:name w:val="副 Char"/>
    <w:link w:val="625"/>
    <w:qFormat/>
    <w:uiPriority w:val="0"/>
    <w:rPr>
      <w:rFonts w:ascii="Arial" w:hAnsi="Arial"/>
      <w:b/>
      <w:bCs/>
      <w:kern w:val="2"/>
      <w:sz w:val="30"/>
      <w:szCs w:val="32"/>
    </w:rPr>
  </w:style>
  <w:style w:type="paragraph" w:customStyle="1" w:styleId="627">
    <w:name w:val="FUNO正文"/>
    <w:qFormat/>
    <w:uiPriority w:val="0"/>
    <w:pPr>
      <w:ind w:firstLine="480" w:firstLineChars="200"/>
    </w:pPr>
    <w:rPr>
      <w:rFonts w:ascii="宋体" w:hAnsi="宋体" w:eastAsia="宋体" w:cs="Arial Unicode MS"/>
      <w:kern w:val="2"/>
      <w:sz w:val="24"/>
      <w:szCs w:val="24"/>
      <w:lang w:val="en-US" w:eastAsia="zh-CN" w:bidi="ar-SA"/>
    </w:rPr>
  </w:style>
  <w:style w:type="paragraph" w:customStyle="1" w:styleId="628">
    <w:name w:val="规范正文"/>
    <w:basedOn w:val="1"/>
    <w:link w:val="629"/>
    <w:qFormat/>
    <w:uiPriority w:val="0"/>
    <w:pPr>
      <w:adjustRightInd w:val="0"/>
      <w:spacing w:beforeLines="50" w:line="360" w:lineRule="auto"/>
      <w:ind w:firstLine="480" w:firstLineChars="200"/>
      <w:textAlignment w:val="baseline"/>
    </w:pPr>
    <w:rPr>
      <w:kern w:val="0"/>
      <w:szCs w:val="20"/>
    </w:rPr>
  </w:style>
  <w:style w:type="character" w:customStyle="1" w:styleId="629">
    <w:name w:val="规范正文 Char"/>
    <w:link w:val="628"/>
    <w:qFormat/>
    <w:uiPriority w:val="0"/>
    <w:rPr>
      <w:rFonts w:ascii="宋体"/>
      <w:sz w:val="24"/>
    </w:rPr>
  </w:style>
  <w:style w:type="character" w:customStyle="1" w:styleId="630">
    <w:name w:val="Table Heading Char"/>
    <w:link w:val="327"/>
    <w:qFormat/>
    <w:uiPriority w:val="0"/>
    <w:rPr>
      <w:rFonts w:ascii="Book Antiqua" w:hAnsi="Book Antiqua" w:eastAsia="黑体" w:cs="Book Antiqua"/>
      <w:bCs/>
      <w:snapToGrid w:val="0"/>
      <w:sz w:val="21"/>
      <w:szCs w:val="21"/>
    </w:rPr>
  </w:style>
  <w:style w:type="character" w:customStyle="1" w:styleId="631">
    <w:name w:val="无间隔 Char1"/>
    <w:link w:val="293"/>
    <w:qFormat/>
    <w:uiPriority w:val="1"/>
    <w:rPr>
      <w:kern w:val="2"/>
      <w:sz w:val="21"/>
      <w:szCs w:val="24"/>
    </w:rPr>
  </w:style>
  <w:style w:type="character" w:customStyle="1" w:styleId="632">
    <w:name w:val="标题 6 字符1"/>
    <w:qFormat/>
    <w:uiPriority w:val="9"/>
    <w:rPr>
      <w:rFonts w:ascii="Arial" w:hAnsi="Arial"/>
      <w:b/>
      <w:bCs/>
      <w:kern w:val="2"/>
      <w:sz w:val="24"/>
      <w:szCs w:val="24"/>
    </w:rPr>
  </w:style>
  <w:style w:type="character" w:customStyle="1" w:styleId="633">
    <w:name w:val="文档结构图 字符1"/>
    <w:qFormat/>
    <w:uiPriority w:val="0"/>
    <w:rPr>
      <w:rFonts w:ascii="宋体"/>
      <w:kern w:val="2"/>
      <w:sz w:val="24"/>
      <w:szCs w:val="24"/>
      <w:shd w:val="clear" w:color="auto" w:fill="000080"/>
    </w:rPr>
  </w:style>
  <w:style w:type="character" w:customStyle="1" w:styleId="634">
    <w:name w:val="页眉 字符1"/>
    <w:qFormat/>
    <w:uiPriority w:val="0"/>
    <w:rPr>
      <w:rFonts w:ascii="宋体"/>
      <w:kern w:val="2"/>
      <w:sz w:val="18"/>
      <w:szCs w:val="18"/>
    </w:rPr>
  </w:style>
  <w:style w:type="paragraph" w:customStyle="1" w:styleId="635">
    <w:name w:val="xl88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36">
    <w:name w:val="xl88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37">
    <w:name w:val="xl8863"/>
    <w:basedOn w:val="1"/>
    <w:qFormat/>
    <w:uiPriority w:val="0"/>
    <w:pPr>
      <w:widowControl/>
      <w:pBdr>
        <w:top w:val="single" w:color="auto" w:sz="4" w:space="0"/>
        <w:left w:val="single" w:color="auto" w:sz="4" w:space="0"/>
        <w:bottom w:val="single" w:color="auto" w:sz="4" w:space="0"/>
        <w:right w:val="single" w:color="auto" w:sz="4" w:space="0"/>
      </w:pBdr>
      <w:shd w:val="clear" w:color="000000" w:fill="F4F4F4"/>
      <w:spacing w:before="100" w:beforeAutospacing="1" w:after="100" w:afterAutospacing="1"/>
      <w:jc w:val="center"/>
    </w:pPr>
    <w:rPr>
      <w:rFonts w:hAnsi="宋体" w:cs="宋体"/>
      <w:kern w:val="0"/>
      <w:szCs w:val="21"/>
    </w:rPr>
  </w:style>
  <w:style w:type="paragraph" w:customStyle="1" w:styleId="638">
    <w:name w:val="xl8864"/>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39">
    <w:name w:val="xl8865"/>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pPr>
    <w:rPr>
      <w:rFonts w:hAnsi="宋体" w:cs="宋体"/>
      <w:kern w:val="0"/>
      <w:szCs w:val="21"/>
    </w:rPr>
  </w:style>
  <w:style w:type="paragraph" w:customStyle="1" w:styleId="640">
    <w:name w:val="xl8866"/>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41">
    <w:name w:val="xl8867"/>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42">
    <w:name w:val="xl8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43">
    <w:name w:val="xl8869"/>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center"/>
    </w:pPr>
    <w:rPr>
      <w:rFonts w:hAnsi="宋体" w:cs="宋体"/>
      <w:kern w:val="0"/>
      <w:szCs w:val="21"/>
    </w:rPr>
  </w:style>
  <w:style w:type="paragraph" w:customStyle="1" w:styleId="644">
    <w:name w:val="xl8870"/>
    <w:basedOn w:val="1"/>
    <w:qFormat/>
    <w:uiPriority w:val="0"/>
    <w:pPr>
      <w:widowControl/>
      <w:pBdr>
        <w:top w:val="single" w:color="auto" w:sz="4" w:space="0"/>
        <w:left w:val="double" w:color="auto" w:sz="6" w:space="0"/>
        <w:bottom w:val="single" w:color="auto" w:sz="4" w:space="0"/>
        <w:right w:val="single" w:color="auto" w:sz="4" w:space="0"/>
      </w:pBdr>
      <w:shd w:val="clear" w:color="000000" w:fill="DBDBDB"/>
      <w:spacing w:before="100" w:beforeAutospacing="1" w:after="100" w:afterAutospacing="1"/>
      <w:jc w:val="center"/>
    </w:pPr>
    <w:rPr>
      <w:rFonts w:hAnsi="宋体" w:cs="宋体"/>
      <w:b/>
      <w:bCs/>
      <w:kern w:val="0"/>
      <w:szCs w:val="21"/>
    </w:rPr>
  </w:style>
  <w:style w:type="paragraph" w:customStyle="1" w:styleId="645">
    <w:name w:val="xl8871"/>
    <w:basedOn w:val="1"/>
    <w:qFormat/>
    <w:uiPriority w:val="0"/>
    <w:pPr>
      <w:widowControl/>
      <w:pBdr>
        <w:top w:val="single" w:color="auto" w:sz="4" w:space="0"/>
        <w:left w:val="single" w:color="auto" w:sz="4" w:space="0"/>
        <w:bottom w:val="single" w:color="auto" w:sz="4" w:space="0"/>
        <w:right w:val="single" w:color="auto" w:sz="4" w:space="0"/>
      </w:pBdr>
      <w:shd w:val="clear" w:color="000000" w:fill="DBDBDB"/>
      <w:spacing w:before="100" w:beforeAutospacing="1" w:after="100" w:afterAutospacing="1"/>
      <w:jc w:val="left"/>
    </w:pPr>
    <w:rPr>
      <w:rFonts w:hAnsi="宋体" w:cs="宋体"/>
      <w:b/>
      <w:bCs/>
      <w:kern w:val="0"/>
      <w:szCs w:val="21"/>
    </w:rPr>
  </w:style>
  <w:style w:type="paragraph" w:customStyle="1" w:styleId="646">
    <w:name w:val="xl8872"/>
    <w:basedOn w:val="1"/>
    <w:qFormat/>
    <w:uiPriority w:val="0"/>
    <w:pPr>
      <w:widowControl/>
      <w:pBdr>
        <w:top w:val="single" w:color="auto" w:sz="4" w:space="0"/>
        <w:left w:val="single" w:color="auto" w:sz="4" w:space="0"/>
        <w:bottom w:val="single" w:color="auto" w:sz="4" w:space="0"/>
        <w:right w:val="single" w:color="auto" w:sz="4" w:space="0"/>
      </w:pBdr>
      <w:shd w:val="clear" w:color="000000" w:fill="DBDBDB"/>
      <w:spacing w:before="100" w:beforeAutospacing="1" w:after="100" w:afterAutospacing="1"/>
      <w:jc w:val="center"/>
    </w:pPr>
    <w:rPr>
      <w:rFonts w:hAnsi="宋体" w:cs="宋体"/>
      <w:b/>
      <w:bCs/>
      <w:kern w:val="0"/>
      <w:szCs w:val="21"/>
    </w:rPr>
  </w:style>
  <w:style w:type="paragraph" w:customStyle="1" w:styleId="647">
    <w:name w:val="xl8873"/>
    <w:basedOn w:val="1"/>
    <w:qFormat/>
    <w:uiPriority w:val="0"/>
    <w:pPr>
      <w:widowControl/>
      <w:pBdr>
        <w:top w:val="single" w:color="auto" w:sz="4" w:space="0"/>
        <w:left w:val="single" w:color="auto" w:sz="4" w:space="0"/>
        <w:bottom w:val="single" w:color="auto" w:sz="4" w:space="0"/>
        <w:right w:val="single" w:color="auto" w:sz="4" w:space="0"/>
      </w:pBdr>
      <w:shd w:val="clear" w:color="000000" w:fill="DBDBDB"/>
      <w:spacing w:before="100" w:beforeAutospacing="1" w:after="100" w:afterAutospacing="1"/>
      <w:jc w:val="left"/>
    </w:pPr>
    <w:rPr>
      <w:rFonts w:hAnsi="宋体" w:cs="宋体"/>
      <w:b/>
      <w:bCs/>
      <w:kern w:val="0"/>
      <w:szCs w:val="21"/>
    </w:rPr>
  </w:style>
  <w:style w:type="paragraph" w:customStyle="1" w:styleId="648">
    <w:name w:val="xl8874"/>
    <w:basedOn w:val="1"/>
    <w:qFormat/>
    <w:uiPriority w:val="0"/>
    <w:pPr>
      <w:widowControl/>
      <w:pBdr>
        <w:top w:val="single" w:color="auto" w:sz="4" w:space="0"/>
        <w:left w:val="single" w:color="auto" w:sz="4" w:space="0"/>
        <w:bottom w:val="single" w:color="auto" w:sz="4" w:space="0"/>
        <w:right w:val="double" w:color="auto" w:sz="6" w:space="0"/>
      </w:pBdr>
      <w:shd w:val="clear" w:color="000000" w:fill="DBDBDB"/>
      <w:spacing w:before="100" w:beforeAutospacing="1" w:after="100" w:afterAutospacing="1"/>
      <w:jc w:val="center"/>
    </w:pPr>
    <w:rPr>
      <w:rFonts w:hAnsi="宋体" w:cs="宋体"/>
      <w:b/>
      <w:bCs/>
      <w:kern w:val="0"/>
      <w:szCs w:val="21"/>
    </w:rPr>
  </w:style>
  <w:style w:type="paragraph" w:customStyle="1" w:styleId="649">
    <w:name w:val="xl8875"/>
    <w:basedOn w:val="1"/>
    <w:qFormat/>
    <w:uiPriority w:val="0"/>
    <w:pPr>
      <w:widowControl/>
      <w:pBdr>
        <w:top w:val="single" w:color="auto" w:sz="4" w:space="0"/>
        <w:left w:val="double" w:color="auto" w:sz="6" w:space="0"/>
        <w:bottom w:val="single" w:color="auto" w:sz="4" w:space="0"/>
        <w:right w:val="single" w:color="auto" w:sz="4" w:space="0"/>
      </w:pBdr>
      <w:shd w:val="clear" w:color="000000" w:fill="F4F4F4"/>
      <w:spacing w:before="100" w:beforeAutospacing="1" w:after="100" w:afterAutospacing="1"/>
      <w:jc w:val="center"/>
    </w:pPr>
    <w:rPr>
      <w:rFonts w:hAnsi="宋体" w:cs="宋体"/>
      <w:kern w:val="0"/>
      <w:szCs w:val="21"/>
    </w:rPr>
  </w:style>
  <w:style w:type="paragraph" w:customStyle="1" w:styleId="650">
    <w:name w:val="xl8876"/>
    <w:basedOn w:val="1"/>
    <w:qFormat/>
    <w:uiPriority w:val="0"/>
    <w:pPr>
      <w:widowControl/>
      <w:pBdr>
        <w:top w:val="single" w:color="auto" w:sz="4" w:space="0"/>
        <w:left w:val="single" w:color="auto" w:sz="4" w:space="0"/>
        <w:bottom w:val="single" w:color="auto" w:sz="4" w:space="0"/>
        <w:right w:val="single" w:color="auto" w:sz="4" w:space="0"/>
      </w:pBdr>
      <w:shd w:val="clear" w:color="000000" w:fill="F4F4F4"/>
      <w:spacing w:before="100" w:beforeAutospacing="1" w:after="100" w:afterAutospacing="1"/>
      <w:jc w:val="center"/>
    </w:pPr>
    <w:rPr>
      <w:rFonts w:hAnsi="宋体" w:cs="宋体"/>
      <w:kern w:val="0"/>
      <w:szCs w:val="21"/>
    </w:rPr>
  </w:style>
  <w:style w:type="paragraph" w:customStyle="1" w:styleId="651">
    <w:name w:val="xl8877"/>
    <w:basedOn w:val="1"/>
    <w:qFormat/>
    <w:uiPriority w:val="0"/>
    <w:pPr>
      <w:widowControl/>
      <w:pBdr>
        <w:top w:val="single" w:color="auto" w:sz="4" w:space="0"/>
        <w:left w:val="single" w:color="auto" w:sz="4" w:space="0"/>
        <w:bottom w:val="single" w:color="auto" w:sz="4" w:space="0"/>
        <w:right w:val="double" w:color="auto" w:sz="6" w:space="0"/>
      </w:pBdr>
      <w:shd w:val="clear" w:color="000000" w:fill="F4F4F4"/>
      <w:spacing w:before="100" w:beforeAutospacing="1" w:after="100" w:afterAutospacing="1"/>
      <w:jc w:val="center"/>
    </w:pPr>
    <w:rPr>
      <w:rFonts w:hAnsi="宋体" w:cs="宋体"/>
      <w:kern w:val="0"/>
      <w:szCs w:val="21"/>
    </w:rPr>
  </w:style>
  <w:style w:type="paragraph" w:customStyle="1" w:styleId="652">
    <w:name w:val="xl8878"/>
    <w:basedOn w:val="1"/>
    <w:qFormat/>
    <w:uiPriority w:val="0"/>
    <w:pPr>
      <w:widowControl/>
      <w:pBdr>
        <w:top w:val="single" w:color="auto" w:sz="4" w:space="0"/>
        <w:left w:val="double" w:color="auto" w:sz="6" w:space="0"/>
        <w:right w:val="single" w:color="auto" w:sz="4" w:space="0"/>
      </w:pBdr>
      <w:spacing w:before="100" w:beforeAutospacing="1" w:after="100" w:afterAutospacing="1"/>
      <w:jc w:val="center"/>
    </w:pPr>
    <w:rPr>
      <w:rFonts w:hAnsi="宋体" w:cs="宋体"/>
      <w:kern w:val="0"/>
      <w:szCs w:val="21"/>
    </w:rPr>
  </w:style>
  <w:style w:type="paragraph" w:customStyle="1" w:styleId="653">
    <w:name w:val="xl887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hAnsi="宋体" w:cs="宋体"/>
      <w:kern w:val="0"/>
      <w:szCs w:val="21"/>
    </w:rPr>
  </w:style>
  <w:style w:type="paragraph" w:customStyle="1" w:styleId="654">
    <w:name w:val="xl8880"/>
    <w:basedOn w:val="1"/>
    <w:qFormat/>
    <w:uiPriority w:val="0"/>
    <w:pPr>
      <w:widowControl/>
      <w:pBdr>
        <w:top w:val="single" w:color="auto" w:sz="4" w:space="0"/>
        <w:left w:val="single" w:color="auto" w:sz="4" w:space="0"/>
        <w:right w:val="double" w:color="auto" w:sz="6" w:space="0"/>
      </w:pBdr>
      <w:spacing w:before="100" w:beforeAutospacing="1" w:after="100" w:afterAutospacing="1"/>
      <w:jc w:val="center"/>
    </w:pPr>
    <w:rPr>
      <w:rFonts w:hAnsi="宋体" w:cs="宋体"/>
      <w:kern w:val="0"/>
      <w:szCs w:val="21"/>
    </w:rPr>
  </w:style>
  <w:style w:type="paragraph" w:customStyle="1" w:styleId="655">
    <w:name w:val="xl8881"/>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left"/>
    </w:pPr>
    <w:rPr>
      <w:rFonts w:hAnsi="宋体" w:cs="宋体"/>
      <w:b/>
      <w:bCs/>
      <w:kern w:val="0"/>
      <w:szCs w:val="21"/>
    </w:rPr>
  </w:style>
  <w:style w:type="paragraph" w:customStyle="1" w:styleId="656">
    <w:name w:val="xl8882"/>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pPr>
    <w:rPr>
      <w:rFonts w:hAnsi="宋体" w:cs="宋体"/>
      <w:b/>
      <w:bCs/>
      <w:kern w:val="0"/>
      <w:szCs w:val="21"/>
    </w:rPr>
  </w:style>
  <w:style w:type="paragraph" w:customStyle="1" w:styleId="657">
    <w:name w:val="xl888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left"/>
    </w:pPr>
    <w:rPr>
      <w:rFonts w:hAnsi="宋体" w:cs="宋体"/>
      <w:b/>
      <w:bCs/>
      <w:kern w:val="0"/>
      <w:szCs w:val="21"/>
    </w:rPr>
  </w:style>
  <w:style w:type="paragraph" w:customStyle="1" w:styleId="658">
    <w:name w:val="xl8835"/>
    <w:basedOn w:val="1"/>
    <w:qFormat/>
    <w:uiPriority w:val="0"/>
    <w:pPr>
      <w:widowControl/>
      <w:spacing w:before="100" w:beforeAutospacing="1" w:after="100" w:afterAutospacing="1"/>
      <w:jc w:val="left"/>
    </w:pPr>
    <w:rPr>
      <w:rFonts w:hAnsi="宋体" w:cs="宋体"/>
      <w:kern w:val="0"/>
      <w:szCs w:val="21"/>
    </w:rPr>
  </w:style>
  <w:style w:type="paragraph" w:customStyle="1" w:styleId="659">
    <w:name w:val="xl8836"/>
    <w:basedOn w:val="1"/>
    <w:qFormat/>
    <w:uiPriority w:val="0"/>
    <w:pPr>
      <w:widowControl/>
      <w:spacing w:before="100" w:beforeAutospacing="1" w:after="100" w:afterAutospacing="1"/>
      <w:jc w:val="center"/>
    </w:pPr>
    <w:rPr>
      <w:rFonts w:hAnsi="宋体" w:cs="宋体"/>
      <w:kern w:val="0"/>
      <w:szCs w:val="21"/>
    </w:rPr>
  </w:style>
  <w:style w:type="character" w:customStyle="1" w:styleId="660">
    <w:name w:val="列出段落 Char1"/>
    <w:qFormat/>
    <w:uiPriority w:val="0"/>
    <w:rPr>
      <w:rFonts w:ascii="宋体"/>
      <w:kern w:val="2"/>
      <w:sz w:val="24"/>
      <w:szCs w:val="24"/>
    </w:rPr>
  </w:style>
  <w:style w:type="paragraph" w:customStyle="1" w:styleId="66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textAlignment w:val="center"/>
    </w:pPr>
    <w:rPr>
      <w:rFonts w:hAnsi="宋体" w:cs="宋体"/>
      <w:kern w:val="0"/>
      <w:szCs w:val="21"/>
    </w:rPr>
  </w:style>
  <w:style w:type="paragraph" w:customStyle="1" w:styleId="662">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textAlignment w:val="center"/>
    </w:pPr>
    <w:rPr>
      <w:rFonts w:hAnsi="宋体" w:cs="宋体"/>
      <w:kern w:val="0"/>
      <w:szCs w:val="21"/>
    </w:rPr>
  </w:style>
  <w:style w:type="paragraph" w:customStyle="1" w:styleId="663">
    <w:name w:val="xl15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textAlignment w:val="center"/>
    </w:pPr>
    <w:rPr>
      <w:rFonts w:hAnsi="宋体" w:cs="宋体"/>
      <w:kern w:val="0"/>
      <w:szCs w:val="21"/>
    </w:rPr>
  </w:style>
  <w:style w:type="paragraph" w:customStyle="1" w:styleId="664">
    <w:name w:val="xl160"/>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right"/>
      <w:textAlignment w:val="center"/>
    </w:pPr>
    <w:rPr>
      <w:rFonts w:hAnsi="宋体" w:cs="宋体"/>
      <w:kern w:val="0"/>
      <w:szCs w:val="21"/>
    </w:rPr>
  </w:style>
  <w:style w:type="paragraph" w:customStyle="1" w:styleId="665">
    <w:name w:val="xl161"/>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textAlignment w:val="center"/>
    </w:pPr>
    <w:rPr>
      <w:rFonts w:hAnsi="宋体" w:cs="宋体"/>
      <w:kern w:val="0"/>
      <w:szCs w:val="21"/>
    </w:rPr>
  </w:style>
  <w:style w:type="paragraph" w:customStyle="1" w:styleId="666">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right"/>
      <w:textAlignment w:val="center"/>
    </w:pPr>
    <w:rPr>
      <w:rFonts w:hAnsi="宋体" w:cs="宋体"/>
      <w:kern w:val="0"/>
      <w:szCs w:val="21"/>
    </w:rPr>
  </w:style>
  <w:style w:type="paragraph" w:customStyle="1" w:styleId="667">
    <w:name w:val="xl163"/>
    <w:basedOn w:val="1"/>
    <w:qFormat/>
    <w:uiPriority w:val="0"/>
    <w:pPr>
      <w:widowControl/>
      <w:pBdr>
        <w:top w:val="single" w:color="auto" w:sz="4" w:space="0"/>
        <w:left w:val="double" w:color="auto" w:sz="6" w:space="0"/>
        <w:bottom w:val="single" w:color="auto" w:sz="4" w:space="0"/>
        <w:right w:val="single" w:color="auto" w:sz="4" w:space="0"/>
      </w:pBdr>
      <w:shd w:val="clear" w:color="000000" w:fill="D8D8D8"/>
      <w:spacing w:before="100" w:beforeAutospacing="1" w:after="100" w:afterAutospacing="1"/>
      <w:jc w:val="center"/>
      <w:textAlignment w:val="center"/>
    </w:pPr>
    <w:rPr>
      <w:rFonts w:hAnsi="宋体" w:cs="宋体"/>
      <w:kern w:val="0"/>
      <w:szCs w:val="21"/>
    </w:rPr>
  </w:style>
  <w:style w:type="paragraph" w:customStyle="1" w:styleId="668">
    <w:name w:val="xl164"/>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color w:val="000000"/>
      <w:kern w:val="0"/>
      <w:szCs w:val="21"/>
    </w:rPr>
  </w:style>
  <w:style w:type="paragraph" w:customStyle="1" w:styleId="669">
    <w:name w:val="xl165"/>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70">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color w:val="FF0000"/>
      <w:kern w:val="0"/>
      <w:szCs w:val="21"/>
    </w:rPr>
  </w:style>
  <w:style w:type="paragraph" w:customStyle="1" w:styleId="671">
    <w:name w:val="xl1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72">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73">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74">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75">
    <w:name w:val="xl171"/>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76">
    <w:name w:val="xl17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77">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678">
    <w:name w:val="xl174"/>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79">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80">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81">
    <w:name w:val="xl17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82">
    <w:name w:val="xl17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83">
    <w:name w:val="xl1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84">
    <w:name w:val="xl1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685">
    <w:name w:val="xl181"/>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textAlignment w:val="center"/>
    </w:pPr>
    <w:rPr>
      <w:rFonts w:hAnsi="宋体" w:cs="宋体"/>
      <w:b/>
      <w:bCs/>
      <w:kern w:val="0"/>
      <w:szCs w:val="21"/>
    </w:rPr>
  </w:style>
  <w:style w:type="paragraph" w:customStyle="1" w:styleId="686">
    <w:name w:val="xl18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textAlignment w:val="center"/>
    </w:pPr>
    <w:rPr>
      <w:rFonts w:hAnsi="宋体" w:cs="宋体"/>
      <w:kern w:val="0"/>
      <w:szCs w:val="21"/>
    </w:rPr>
  </w:style>
  <w:style w:type="paragraph" w:customStyle="1" w:styleId="687">
    <w:name w:val="xl18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688">
    <w:name w:val="xl184"/>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689">
    <w:name w:val="xl1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90">
    <w:name w:val="xl1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宋体" w:cs="宋体"/>
      <w:kern w:val="0"/>
      <w:szCs w:val="21"/>
    </w:rPr>
  </w:style>
  <w:style w:type="paragraph" w:customStyle="1" w:styleId="691">
    <w:name w:val="xl187"/>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692">
    <w:name w:val="xl188"/>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93">
    <w:name w:val="xl18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94">
    <w:name w:val="xl190"/>
    <w:basedOn w:val="1"/>
    <w:qFormat/>
    <w:uiPriority w:val="0"/>
    <w:pPr>
      <w:widowControl/>
      <w:spacing w:before="100" w:beforeAutospacing="1" w:after="100" w:afterAutospacing="1"/>
      <w:jc w:val="center"/>
      <w:textAlignment w:val="center"/>
    </w:pPr>
    <w:rPr>
      <w:rFonts w:hAnsi="宋体" w:cs="宋体"/>
      <w:b/>
      <w:bCs/>
      <w:kern w:val="0"/>
      <w:szCs w:val="21"/>
    </w:rPr>
  </w:style>
  <w:style w:type="paragraph" w:customStyle="1" w:styleId="695">
    <w:name w:val="xl191"/>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696">
    <w:name w:val="xl192"/>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697">
    <w:name w:val="xl193"/>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98">
    <w:name w:val="xl194"/>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699">
    <w:name w:val="xl195"/>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character" w:customStyle="1" w:styleId="700">
    <w:name w:val="标题 字符1"/>
    <w:qFormat/>
    <w:uiPriority w:val="0"/>
    <w:rPr>
      <w:rFonts w:ascii="Cambria" w:hAnsi="Cambria"/>
      <w:b/>
      <w:bCs/>
      <w:kern w:val="2"/>
      <w:sz w:val="32"/>
      <w:szCs w:val="32"/>
    </w:rPr>
  </w:style>
  <w:style w:type="paragraph" w:customStyle="1" w:styleId="701">
    <w:name w:val="xl196"/>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2">
    <w:name w:val="xl19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703">
    <w:name w:val="xl1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704">
    <w:name w:val="xl199"/>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5">
    <w:name w:val="xl2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6">
    <w:name w:val="xl2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7">
    <w:name w:val="xl2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8">
    <w:name w:val="xl2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09">
    <w:name w:val="xl204"/>
    <w:basedOn w:val="1"/>
    <w:qFormat/>
    <w:uiPriority w:val="0"/>
    <w:pPr>
      <w:widowControl/>
      <w:pBdr>
        <w:top w:val="single" w:color="auto" w:sz="4" w:space="0"/>
        <w:left w:val="double" w:color="auto" w:sz="6" w:space="0"/>
        <w:bottom w:val="single" w:color="auto" w:sz="4" w:space="0"/>
        <w:right w:val="single" w:color="auto" w:sz="4" w:space="0"/>
      </w:pBdr>
      <w:shd w:val="clear" w:color="000000" w:fill="D8D8D8"/>
      <w:spacing w:before="100" w:beforeAutospacing="1" w:after="100" w:afterAutospacing="1"/>
      <w:jc w:val="center"/>
      <w:textAlignment w:val="center"/>
    </w:pPr>
    <w:rPr>
      <w:rFonts w:hAnsi="宋体" w:cs="宋体"/>
      <w:color w:val="000000"/>
      <w:kern w:val="0"/>
      <w:szCs w:val="21"/>
    </w:rPr>
  </w:style>
  <w:style w:type="paragraph" w:customStyle="1" w:styleId="710">
    <w:name w:val="xl205"/>
    <w:basedOn w:val="1"/>
    <w:qFormat/>
    <w:uiPriority w:val="0"/>
    <w:pPr>
      <w:widowControl/>
      <w:spacing w:before="100" w:beforeAutospacing="1" w:after="100" w:afterAutospacing="1"/>
      <w:jc w:val="center"/>
      <w:textAlignment w:val="center"/>
    </w:pPr>
    <w:rPr>
      <w:rFonts w:hAnsi="宋体" w:cs="宋体"/>
      <w:b/>
      <w:bCs/>
      <w:kern w:val="0"/>
      <w:szCs w:val="21"/>
    </w:rPr>
  </w:style>
  <w:style w:type="paragraph" w:customStyle="1" w:styleId="711">
    <w:name w:val="xl206"/>
    <w:basedOn w:val="1"/>
    <w:qFormat/>
    <w:uiPriority w:val="0"/>
    <w:pPr>
      <w:widowControl/>
      <w:spacing w:before="100" w:beforeAutospacing="1" w:after="100" w:afterAutospacing="1"/>
      <w:jc w:val="center"/>
      <w:textAlignment w:val="center"/>
    </w:pPr>
    <w:rPr>
      <w:rFonts w:hAnsi="宋体" w:cs="宋体"/>
      <w:b/>
      <w:bCs/>
      <w:kern w:val="0"/>
      <w:szCs w:val="21"/>
    </w:rPr>
  </w:style>
  <w:style w:type="paragraph" w:customStyle="1" w:styleId="712">
    <w:name w:val="xl207"/>
    <w:basedOn w:val="1"/>
    <w:qFormat/>
    <w:uiPriority w:val="0"/>
    <w:pPr>
      <w:widowControl/>
      <w:spacing w:before="100" w:beforeAutospacing="1" w:after="100" w:afterAutospacing="1"/>
      <w:jc w:val="center"/>
      <w:textAlignment w:val="center"/>
    </w:pPr>
    <w:rPr>
      <w:rFonts w:hAnsi="宋体" w:cs="宋体"/>
      <w:b/>
      <w:bCs/>
      <w:kern w:val="0"/>
      <w:szCs w:val="21"/>
    </w:rPr>
  </w:style>
  <w:style w:type="paragraph" w:customStyle="1" w:styleId="713">
    <w:name w:val="xl208"/>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14">
    <w:name w:val="xl20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15">
    <w:name w:val="xl210"/>
    <w:basedOn w:val="1"/>
    <w:qFormat/>
    <w:uiPriority w:val="0"/>
    <w:pPr>
      <w:widowControl/>
      <w:pBdr>
        <w:top w:val="double" w:color="auto" w:sz="6" w:space="0"/>
      </w:pBdr>
      <w:spacing w:before="100" w:beforeAutospacing="1" w:after="100" w:afterAutospacing="1"/>
      <w:jc w:val="center"/>
      <w:textAlignment w:val="center"/>
    </w:pPr>
    <w:rPr>
      <w:rFonts w:hAnsi="宋体" w:cs="宋体"/>
      <w:kern w:val="0"/>
      <w:szCs w:val="21"/>
    </w:rPr>
  </w:style>
  <w:style w:type="paragraph" w:customStyle="1" w:styleId="716">
    <w:name w:val="xl211"/>
    <w:basedOn w:val="1"/>
    <w:qFormat/>
    <w:uiPriority w:val="0"/>
    <w:pPr>
      <w:widowControl/>
      <w:pBdr>
        <w:bottom w:val="double" w:color="auto" w:sz="6"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717">
    <w:name w:val="xl212"/>
    <w:basedOn w:val="1"/>
    <w:qFormat/>
    <w:uiPriority w:val="0"/>
    <w:pPr>
      <w:widowControl/>
      <w:pBdr>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718">
    <w:name w:val="xl213"/>
    <w:basedOn w:val="1"/>
    <w:qFormat/>
    <w:uiPriority w:val="0"/>
    <w:pPr>
      <w:widowControl/>
      <w:pBdr>
        <w:left w:val="single" w:color="auto" w:sz="4" w:space="0"/>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719">
    <w:name w:val="xl214"/>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20">
    <w:name w:val="xl215"/>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21">
    <w:name w:val="xl216"/>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722">
    <w:name w:val="xl217"/>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723">
    <w:name w:val="xl218"/>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724">
    <w:name w:val="xl219"/>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25">
    <w:name w:val="xl220"/>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color w:val="000000"/>
      <w:kern w:val="0"/>
      <w:szCs w:val="21"/>
    </w:rPr>
  </w:style>
  <w:style w:type="paragraph" w:customStyle="1" w:styleId="726">
    <w:name w:val="xl221"/>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color w:val="000000"/>
      <w:kern w:val="0"/>
      <w:szCs w:val="21"/>
    </w:rPr>
  </w:style>
  <w:style w:type="paragraph" w:customStyle="1" w:styleId="727">
    <w:name w:val="xl222"/>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color w:val="000000"/>
      <w:kern w:val="0"/>
      <w:szCs w:val="21"/>
    </w:rPr>
  </w:style>
  <w:style w:type="paragraph" w:customStyle="1" w:styleId="728">
    <w:name w:val="xl2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729">
    <w:name w:val="xl2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30">
    <w:name w:val="xl22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731">
    <w:name w:val="xl22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732">
    <w:name w:val="xl227"/>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733">
    <w:name w:val="green14"/>
    <w:basedOn w:val="1"/>
    <w:qFormat/>
    <w:uiPriority w:val="0"/>
    <w:pPr>
      <w:widowControl/>
      <w:spacing w:line="352" w:lineRule="atLeast"/>
      <w:jc w:val="left"/>
    </w:pPr>
    <w:rPr>
      <w:rFonts w:hAnsi="宋体" w:cs="宋体"/>
      <w:b/>
      <w:bCs/>
      <w:color w:val="006600"/>
      <w:kern w:val="0"/>
      <w:sz w:val="23"/>
      <w:szCs w:val="23"/>
    </w:rPr>
  </w:style>
  <w:style w:type="paragraph" w:customStyle="1" w:styleId="734">
    <w:name w:val="第三章正文"/>
    <w:basedOn w:val="1"/>
    <w:link w:val="735"/>
    <w:qFormat/>
    <w:uiPriority w:val="0"/>
    <w:pPr>
      <w:spacing w:line="360" w:lineRule="auto"/>
      <w:ind w:firstLine="200" w:firstLineChars="200"/>
    </w:pPr>
    <w:rPr>
      <w:rFonts w:hAnsi="宋体"/>
      <w:szCs w:val="20"/>
    </w:rPr>
  </w:style>
  <w:style w:type="character" w:customStyle="1" w:styleId="735">
    <w:name w:val="第三章正文 Char"/>
    <w:link w:val="734"/>
    <w:qFormat/>
    <w:uiPriority w:val="0"/>
    <w:rPr>
      <w:rFonts w:ascii="宋体" w:hAnsi="宋体"/>
      <w:kern w:val="2"/>
      <w:sz w:val="24"/>
    </w:rPr>
  </w:style>
  <w:style w:type="paragraph" w:customStyle="1" w:styleId="736">
    <w:name w:val="标题6"/>
    <w:basedOn w:val="1"/>
    <w:qFormat/>
    <w:uiPriority w:val="0"/>
  </w:style>
  <w:style w:type="character" w:customStyle="1" w:styleId="737">
    <w:name w:val="（1） Char"/>
    <w:qFormat/>
    <w:uiPriority w:val="0"/>
    <w:rPr>
      <w:rFonts w:ascii="宋体" w:hAnsi="宋体" w:cs="Arial"/>
      <w:kern w:val="2"/>
      <w:sz w:val="24"/>
      <w:szCs w:val="24"/>
    </w:rPr>
  </w:style>
  <w:style w:type="character" w:customStyle="1" w:styleId="738">
    <w:name w:val="paragraph1 Char Char"/>
    <w:qFormat/>
    <w:uiPriority w:val="0"/>
    <w:rPr>
      <w:kern w:val="2"/>
      <w:sz w:val="24"/>
      <w:szCs w:val="24"/>
    </w:rPr>
  </w:style>
  <w:style w:type="paragraph" w:customStyle="1" w:styleId="739">
    <w:name w:val="标题 11"/>
    <w:basedOn w:val="1"/>
    <w:next w:val="1"/>
    <w:qFormat/>
    <w:uiPriority w:val="0"/>
    <w:pPr>
      <w:keepNext/>
      <w:keepLines/>
      <w:spacing w:line="20" w:lineRule="exact"/>
      <w:outlineLvl w:val="0"/>
    </w:pPr>
    <w:rPr>
      <w:rFonts w:ascii="Arial" w:hAnsi="Arial"/>
      <w:b/>
      <w:color w:val="FFFFFF"/>
      <w:kern w:val="44"/>
      <w:szCs w:val="21"/>
    </w:rPr>
  </w:style>
  <w:style w:type="paragraph" w:customStyle="1" w:styleId="740">
    <w:name w:val="标题 21"/>
    <w:basedOn w:val="1"/>
    <w:next w:val="1"/>
    <w:qFormat/>
    <w:uiPriority w:val="0"/>
    <w:pPr>
      <w:keepNext/>
      <w:keepLines/>
      <w:spacing w:before="360" w:after="120"/>
      <w:outlineLvl w:val="1"/>
    </w:pPr>
    <w:rPr>
      <w:rFonts w:ascii="Arial" w:hAnsi="Arial"/>
      <w:b/>
      <w:bCs/>
      <w:sz w:val="30"/>
      <w:szCs w:val="32"/>
    </w:rPr>
  </w:style>
  <w:style w:type="paragraph" w:customStyle="1" w:styleId="741">
    <w:name w:val="标题 31"/>
    <w:basedOn w:val="1"/>
    <w:next w:val="1"/>
    <w:qFormat/>
    <w:uiPriority w:val="0"/>
    <w:pPr>
      <w:keepNext/>
      <w:keepLines/>
      <w:spacing w:before="240" w:after="120"/>
      <w:outlineLvl w:val="2"/>
    </w:pPr>
    <w:rPr>
      <w:rFonts w:ascii="Arial" w:hAnsi="Arial"/>
      <w:b/>
      <w:bCs/>
      <w:sz w:val="28"/>
      <w:szCs w:val="32"/>
    </w:rPr>
  </w:style>
  <w:style w:type="paragraph" w:customStyle="1" w:styleId="742">
    <w:name w:val="标题 41"/>
    <w:basedOn w:val="1"/>
    <w:next w:val="1"/>
    <w:qFormat/>
    <w:uiPriority w:val="0"/>
    <w:pPr>
      <w:keepNext/>
      <w:keepLines/>
      <w:spacing w:before="120" w:after="120"/>
      <w:outlineLvl w:val="3"/>
    </w:pPr>
    <w:rPr>
      <w:rFonts w:ascii="Arial" w:hAnsi="Arial" w:cs="Arial"/>
      <w:b/>
      <w:bCs/>
      <w:color w:val="000000"/>
    </w:rPr>
  </w:style>
  <w:style w:type="paragraph" w:customStyle="1" w:styleId="743">
    <w:name w:val="标题 51"/>
    <w:basedOn w:val="1"/>
    <w:next w:val="1"/>
    <w:qFormat/>
    <w:uiPriority w:val="0"/>
    <w:pPr>
      <w:keepNext/>
      <w:keepLines/>
      <w:spacing w:before="120" w:after="120"/>
      <w:outlineLvl w:val="4"/>
    </w:pPr>
    <w:rPr>
      <w:rFonts w:ascii="Arial" w:hAnsi="Arial"/>
      <w:b/>
      <w:bCs/>
      <w:szCs w:val="28"/>
    </w:rPr>
  </w:style>
  <w:style w:type="paragraph" w:customStyle="1" w:styleId="744">
    <w:name w:val="标题 81"/>
    <w:basedOn w:val="553"/>
    <w:next w:val="1"/>
    <w:qFormat/>
    <w:uiPriority w:val="0"/>
    <w:pPr>
      <w:spacing w:before="0" w:after="120"/>
      <w:outlineLvl w:val="7"/>
    </w:pPr>
  </w:style>
  <w:style w:type="character" w:customStyle="1" w:styleId="745">
    <w:name w:val="注释标题 Char"/>
    <w:basedOn w:val="81"/>
    <w:link w:val="16"/>
    <w:qFormat/>
    <w:uiPriority w:val="99"/>
    <w:rPr>
      <w:rFonts w:ascii="Calibri" w:hAnsi="Calibri"/>
      <w:kern w:val="2"/>
      <w:sz w:val="24"/>
      <w:szCs w:val="21"/>
    </w:rPr>
  </w:style>
  <w:style w:type="paragraph" w:customStyle="1" w:styleId="746">
    <w:name w:val="reader-word-layer"/>
    <w:basedOn w:val="1"/>
    <w:qFormat/>
    <w:uiPriority w:val="0"/>
    <w:pPr>
      <w:widowControl/>
      <w:spacing w:before="100" w:beforeAutospacing="1" w:after="100" w:afterAutospacing="1"/>
      <w:jc w:val="left"/>
    </w:pPr>
    <w:rPr>
      <w:rFonts w:hAnsi="宋体" w:cs="宋体"/>
      <w:kern w:val="0"/>
      <w:szCs w:val="21"/>
    </w:rPr>
  </w:style>
  <w:style w:type="character" w:customStyle="1" w:styleId="747">
    <w:name w:val="批注文字 字符1"/>
    <w:qFormat/>
    <w:uiPriority w:val="0"/>
    <w:rPr>
      <w:rFonts w:ascii="宋体"/>
      <w:kern w:val="2"/>
      <w:sz w:val="24"/>
      <w:szCs w:val="24"/>
    </w:rPr>
  </w:style>
  <w:style w:type="character" w:customStyle="1" w:styleId="748">
    <w:name w:val="批注主题 字符1"/>
    <w:qFormat/>
    <w:uiPriority w:val="0"/>
    <w:rPr>
      <w:rFonts w:ascii="宋体"/>
      <w:b/>
      <w:bCs/>
      <w:kern w:val="2"/>
      <w:sz w:val="24"/>
      <w:szCs w:val="24"/>
    </w:rPr>
  </w:style>
  <w:style w:type="paragraph" w:customStyle="1" w:styleId="749">
    <w:name w:val="缺省文本"/>
    <w:basedOn w:val="1"/>
    <w:link w:val="1188"/>
    <w:qFormat/>
    <w:uiPriority w:val="0"/>
    <w:pPr>
      <w:autoSpaceDE w:val="0"/>
      <w:autoSpaceDN w:val="0"/>
      <w:adjustRightInd w:val="0"/>
      <w:jc w:val="left"/>
    </w:pPr>
    <w:rPr>
      <w:kern w:val="0"/>
      <w:szCs w:val="20"/>
    </w:rPr>
  </w:style>
  <w:style w:type="paragraph" w:customStyle="1" w:styleId="750">
    <w:name w:val="正文首行缩进2字 左顶格"/>
    <w:basedOn w:val="74"/>
    <w:qFormat/>
    <w:uiPriority w:val="0"/>
    <w:pPr>
      <w:ind w:firstLine="420"/>
    </w:pPr>
  </w:style>
  <w:style w:type="character" w:customStyle="1" w:styleId="751">
    <w:name w:val="正文首行缩进 2 Char1"/>
    <w:basedOn w:val="118"/>
    <w:link w:val="74"/>
    <w:qFormat/>
    <w:uiPriority w:val="0"/>
    <w:rPr>
      <w:rFonts w:ascii="Calibri" w:hAnsi="Calibri"/>
      <w:b/>
      <w:bCs/>
      <w:kern w:val="2"/>
      <w:sz w:val="24"/>
      <w:szCs w:val="24"/>
    </w:rPr>
  </w:style>
  <w:style w:type="character" w:customStyle="1" w:styleId="752">
    <w:name w:val="正文首行缩进 2 Char"/>
    <w:basedOn w:val="343"/>
    <w:semiHidden/>
    <w:qFormat/>
    <w:uiPriority w:val="0"/>
    <w:rPr>
      <w:rFonts w:ascii="宋体"/>
      <w:kern w:val="2"/>
      <w:sz w:val="24"/>
      <w:szCs w:val="24"/>
    </w:rPr>
  </w:style>
  <w:style w:type="paragraph" w:customStyle="1" w:styleId="753">
    <w:name w:val="number1"/>
    <w:basedOn w:val="1"/>
    <w:link w:val="754"/>
    <w:qFormat/>
    <w:uiPriority w:val="0"/>
    <w:pPr>
      <w:tabs>
        <w:tab w:val="left" w:pos="-960"/>
      </w:tabs>
      <w:spacing w:before="120" w:beforeLines="50" w:after="30" w:afterLines="30" w:line="288" w:lineRule="auto"/>
      <w:ind w:left="-960" w:hanging="420" w:firstLineChars="200"/>
    </w:pPr>
    <w:rPr>
      <w:bCs/>
    </w:rPr>
  </w:style>
  <w:style w:type="character" w:customStyle="1" w:styleId="754">
    <w:name w:val="number1 Char"/>
    <w:link w:val="753"/>
    <w:qFormat/>
    <w:uiPriority w:val="0"/>
    <w:rPr>
      <w:bCs/>
      <w:kern w:val="2"/>
      <w:sz w:val="24"/>
      <w:szCs w:val="24"/>
    </w:rPr>
  </w:style>
  <w:style w:type="paragraph" w:customStyle="1" w:styleId="755">
    <w:name w:val="number"/>
    <w:basedOn w:val="1"/>
    <w:qFormat/>
    <w:uiPriority w:val="0"/>
    <w:pPr>
      <w:tabs>
        <w:tab w:val="left" w:pos="1320"/>
      </w:tabs>
      <w:spacing w:before="62" w:beforeLines="20" w:after="93" w:afterLines="30" w:line="360" w:lineRule="auto"/>
      <w:ind w:left="1320" w:hanging="420" w:firstLineChars="200"/>
    </w:pPr>
    <w:rPr>
      <w:rFonts w:ascii="Arial" w:hAnsi="Arial"/>
      <w:bCs/>
    </w:rPr>
  </w:style>
  <w:style w:type="paragraph" w:customStyle="1" w:styleId="756">
    <w:name w:val="图表标题"/>
    <w:basedOn w:val="1"/>
    <w:next w:val="1"/>
    <w:qFormat/>
    <w:uiPriority w:val="0"/>
    <w:pPr>
      <w:widowControl/>
      <w:spacing w:before="120" w:beforeLines="50" w:after="120" w:afterLines="50" w:line="360" w:lineRule="auto"/>
      <w:ind w:firstLine="480" w:firstLineChars="200"/>
      <w:jc w:val="center"/>
    </w:pPr>
    <w:rPr>
      <w:rFonts w:ascii="Arial" w:hAnsi="Arial" w:eastAsia="黑体"/>
      <w:bCs/>
      <w:szCs w:val="20"/>
    </w:rPr>
  </w:style>
  <w:style w:type="paragraph" w:customStyle="1" w:styleId="757">
    <w:name w:val="样式 标题 1h1H1章节标题111h1112h1213h1314h1415h1516h161..."/>
    <w:basedOn w:val="3"/>
    <w:qFormat/>
    <w:uiPriority w:val="0"/>
    <w:pPr>
      <w:pageBreakBefore/>
      <w:spacing w:before="936" w:beforeLines="300" w:after="936" w:afterLines="300" w:line="360" w:lineRule="auto"/>
      <w:ind w:left="144" w:leftChars="100" w:right="100" w:rightChars="100" w:hanging="144"/>
      <w:jc w:val="left"/>
    </w:pPr>
    <w:rPr>
      <w:rFonts w:eastAsia="黑体" w:cs="宋体"/>
      <w:color w:val="auto"/>
      <w:sz w:val="44"/>
      <w:szCs w:val="20"/>
    </w:rPr>
  </w:style>
  <w:style w:type="character" w:customStyle="1" w:styleId="758">
    <w:name w:val="正文文本 3 Char2"/>
    <w:basedOn w:val="81"/>
    <w:link w:val="29"/>
    <w:qFormat/>
    <w:uiPriority w:val="0"/>
    <w:rPr>
      <w:bCs/>
      <w:kern w:val="2"/>
      <w:sz w:val="16"/>
      <w:szCs w:val="16"/>
    </w:rPr>
  </w:style>
  <w:style w:type="character" w:customStyle="1" w:styleId="759">
    <w:name w:val="正文文本 3 Char"/>
    <w:semiHidden/>
    <w:qFormat/>
    <w:uiPriority w:val="0"/>
    <w:rPr>
      <w:rFonts w:ascii="宋体"/>
      <w:kern w:val="2"/>
      <w:sz w:val="16"/>
      <w:szCs w:val="16"/>
    </w:rPr>
  </w:style>
  <w:style w:type="paragraph" w:customStyle="1" w:styleId="760">
    <w:name w:val="contentnoteheader"/>
    <w:basedOn w:val="1"/>
    <w:qFormat/>
    <w:uiPriority w:val="0"/>
    <w:pPr>
      <w:widowControl/>
      <w:spacing w:before="27" w:beforeLines="50" w:after="100" w:afterLines="50" w:afterAutospacing="1" w:line="360" w:lineRule="auto"/>
      <w:ind w:left="82" w:firstLine="480" w:firstLineChars="200"/>
      <w:jc w:val="left"/>
    </w:pPr>
    <w:rPr>
      <w:rFonts w:hAnsi="宋体"/>
      <w:b/>
      <w:color w:val="990000"/>
      <w:kern w:val="0"/>
      <w:sz w:val="16"/>
      <w:szCs w:val="16"/>
    </w:rPr>
  </w:style>
  <w:style w:type="character" w:customStyle="1" w:styleId="761">
    <w:name w:val="contentlabel1"/>
    <w:qFormat/>
    <w:uiPriority w:val="0"/>
    <w:rPr>
      <w:color w:val="336666"/>
      <w:sz w:val="16"/>
      <w:szCs w:val="16"/>
      <w:u w:val="none"/>
    </w:rPr>
  </w:style>
  <w:style w:type="paragraph" w:customStyle="1" w:styleId="762">
    <w:name w:val="number2"/>
    <w:basedOn w:val="1"/>
    <w:qFormat/>
    <w:uiPriority w:val="0"/>
    <w:pPr>
      <w:tabs>
        <w:tab w:val="left" w:pos="1247"/>
      </w:tabs>
      <w:spacing w:before="120" w:beforeLines="50" w:after="62" w:afterLines="20" w:line="288" w:lineRule="auto"/>
      <w:ind w:left="1247" w:right="-25" w:hanging="396" w:firstLineChars="200"/>
    </w:pPr>
    <w:rPr>
      <w:bCs/>
    </w:rPr>
  </w:style>
  <w:style w:type="paragraph" w:customStyle="1" w:styleId="763">
    <w:name w:val="contentlabel"/>
    <w:basedOn w:val="1"/>
    <w:qFormat/>
    <w:uiPriority w:val="0"/>
    <w:pPr>
      <w:widowControl/>
      <w:spacing w:before="27" w:beforeLines="50" w:after="100" w:afterLines="50" w:afterAutospacing="1" w:line="360" w:lineRule="auto"/>
      <w:ind w:left="82" w:firstLine="480" w:firstLineChars="200"/>
      <w:jc w:val="left"/>
    </w:pPr>
    <w:rPr>
      <w:rFonts w:hAnsi="宋体"/>
      <w:bCs/>
      <w:color w:val="336666"/>
      <w:kern w:val="0"/>
      <w:sz w:val="16"/>
      <w:szCs w:val="16"/>
    </w:rPr>
  </w:style>
  <w:style w:type="character" w:customStyle="1" w:styleId="764">
    <w:name w:val="contentheaderrev1"/>
    <w:qFormat/>
    <w:uiPriority w:val="0"/>
    <w:rPr>
      <w:rFonts w:hint="default" w:ascii="Arial" w:hAnsi="Arial" w:cs="Arial"/>
      <w:b/>
      <w:bCs/>
      <w:color w:val="FFFFFF"/>
      <w:sz w:val="16"/>
      <w:szCs w:val="16"/>
      <w:u w:val="none"/>
    </w:rPr>
  </w:style>
  <w:style w:type="paragraph" w:customStyle="1" w:styleId="765">
    <w:name w:val="a"/>
    <w:basedOn w:val="1"/>
    <w:qFormat/>
    <w:uiPriority w:val="0"/>
    <w:pPr>
      <w:widowControl/>
      <w:spacing w:before="100" w:beforeLines="50" w:beforeAutospacing="1" w:after="100" w:afterLines="50" w:afterAutospacing="1" w:line="360" w:lineRule="auto"/>
      <w:ind w:firstLine="480" w:firstLineChars="200"/>
      <w:jc w:val="left"/>
    </w:pPr>
    <w:rPr>
      <w:rFonts w:hAnsi="宋体"/>
      <w:bCs/>
      <w:kern w:val="0"/>
    </w:rPr>
  </w:style>
  <w:style w:type="character" w:customStyle="1" w:styleId="766">
    <w:name w:val="正文文本缩进 2 Char"/>
    <w:qFormat/>
    <w:uiPriority w:val="0"/>
    <w:rPr>
      <w:rFonts w:ascii="宋体"/>
      <w:kern w:val="2"/>
      <w:sz w:val="24"/>
      <w:szCs w:val="24"/>
    </w:rPr>
  </w:style>
  <w:style w:type="character" w:customStyle="1" w:styleId="767">
    <w:name w:val="正文文本缩进 3 Char"/>
    <w:qFormat/>
    <w:uiPriority w:val="0"/>
    <w:rPr>
      <w:rFonts w:ascii="宋体"/>
      <w:kern w:val="2"/>
      <w:sz w:val="16"/>
      <w:szCs w:val="16"/>
    </w:rPr>
  </w:style>
  <w:style w:type="paragraph" w:customStyle="1" w:styleId="768">
    <w:name w:val="word"/>
    <w:basedOn w:val="1"/>
    <w:qFormat/>
    <w:uiPriority w:val="0"/>
    <w:pPr>
      <w:widowControl/>
      <w:spacing w:before="100" w:beforeLines="50" w:beforeAutospacing="1" w:after="100" w:afterLines="50" w:afterAutospacing="1" w:line="360" w:lineRule="auto"/>
      <w:ind w:firstLine="480" w:firstLineChars="200"/>
      <w:jc w:val="left"/>
    </w:pPr>
    <w:rPr>
      <w:rFonts w:hAnsi="宋体"/>
      <w:bCs/>
      <w:kern w:val="0"/>
    </w:rPr>
  </w:style>
  <w:style w:type="character" w:customStyle="1" w:styleId="769">
    <w:name w:val="日期 Char1"/>
    <w:qFormat/>
    <w:uiPriority w:val="0"/>
    <w:rPr>
      <w:bCs/>
      <w:kern w:val="2"/>
      <w:sz w:val="24"/>
    </w:rPr>
  </w:style>
  <w:style w:type="paragraph" w:customStyle="1" w:styleId="770">
    <w:name w:val="TableText"/>
    <w:basedOn w:val="1"/>
    <w:qFormat/>
    <w:uiPriority w:val="0"/>
    <w:pPr>
      <w:snapToGrid w:val="0"/>
      <w:spacing w:before="20" w:beforeLines="20" w:after="20" w:afterLines="20" w:line="360" w:lineRule="auto"/>
      <w:ind w:firstLine="480" w:firstLineChars="200"/>
      <w:jc w:val="center"/>
    </w:pPr>
    <w:rPr>
      <w:bCs/>
    </w:rPr>
  </w:style>
  <w:style w:type="paragraph" w:customStyle="1" w:styleId="771">
    <w:name w:val="表格1"/>
    <w:basedOn w:val="1"/>
    <w:qFormat/>
    <w:uiPriority w:val="0"/>
    <w:pPr>
      <w:spacing w:before="30" w:beforeLines="30" w:after="30" w:afterLines="30" w:line="360" w:lineRule="auto"/>
      <w:ind w:firstLine="480" w:firstLineChars="200"/>
      <w:jc w:val="center"/>
    </w:pPr>
    <w:rPr>
      <w:b/>
      <w:bCs/>
    </w:rPr>
  </w:style>
  <w:style w:type="character" w:customStyle="1" w:styleId="772">
    <w:name w:val="para1"/>
    <w:qFormat/>
    <w:uiPriority w:val="0"/>
    <w:rPr>
      <w:rFonts w:hint="default" w:ascii="Arial" w:hAnsi="Arial" w:cs="Arial"/>
      <w:sz w:val="18"/>
      <w:szCs w:val="18"/>
    </w:rPr>
  </w:style>
  <w:style w:type="character" w:customStyle="1" w:styleId="773">
    <w:name w:val="point_normal1"/>
    <w:qFormat/>
    <w:uiPriority w:val="0"/>
    <w:rPr>
      <w:rFonts w:hint="default" w:ascii="Arial" w:hAnsi="Arial" w:cs="Arial"/>
      <w:sz w:val="18"/>
      <w:szCs w:val="18"/>
    </w:rPr>
  </w:style>
  <w:style w:type="paragraph" w:customStyle="1" w:styleId="774">
    <w:name w:val="项目符号2"/>
    <w:basedOn w:val="1"/>
    <w:qFormat/>
    <w:uiPriority w:val="0"/>
    <w:pPr>
      <w:adjustRightInd w:val="0"/>
      <w:spacing w:before="120" w:beforeLines="50" w:after="120" w:afterLines="50" w:line="360" w:lineRule="auto"/>
      <w:ind w:firstLine="480" w:firstLineChars="200"/>
      <w:textAlignment w:val="baseline"/>
    </w:pPr>
    <w:rPr>
      <w:bCs/>
      <w:kern w:val="24"/>
      <w:szCs w:val="20"/>
    </w:rPr>
  </w:style>
  <w:style w:type="paragraph" w:customStyle="1" w:styleId="775">
    <w:name w:val="Default1"/>
    <w:basedOn w:val="1"/>
    <w:next w:val="1"/>
    <w:qFormat/>
    <w:uiPriority w:val="0"/>
    <w:pPr>
      <w:autoSpaceDE w:val="0"/>
      <w:autoSpaceDN w:val="0"/>
      <w:adjustRightInd w:val="0"/>
      <w:spacing w:before="120" w:beforeLines="50" w:after="120" w:afterLines="50" w:line="360" w:lineRule="auto"/>
      <w:ind w:firstLine="480" w:firstLineChars="200"/>
      <w:jc w:val="left"/>
    </w:pPr>
    <w:rPr>
      <w:rFonts w:ascii="黑体" w:eastAsia="黑体"/>
      <w:bCs/>
      <w:kern w:val="0"/>
    </w:rPr>
  </w:style>
  <w:style w:type="paragraph" w:customStyle="1" w:styleId="776">
    <w:name w:val="正文列表3"/>
    <w:basedOn w:val="1"/>
    <w:qFormat/>
    <w:uiPriority w:val="0"/>
    <w:pPr>
      <w:tabs>
        <w:tab w:val="left" w:pos="900"/>
      </w:tabs>
      <w:spacing w:before="120" w:beforeLines="50" w:after="120" w:afterLines="50" w:line="360" w:lineRule="auto"/>
      <w:ind w:left="900" w:hanging="420" w:firstLineChars="200"/>
    </w:pPr>
    <w:rPr>
      <w:bCs/>
    </w:rPr>
  </w:style>
  <w:style w:type="paragraph" w:customStyle="1" w:styleId="777">
    <w:name w:val="number0"/>
    <w:basedOn w:val="31"/>
    <w:qFormat/>
    <w:uiPriority w:val="0"/>
    <w:pPr>
      <w:tabs>
        <w:tab w:val="left" w:pos="1260"/>
      </w:tabs>
      <w:spacing w:before="65" w:beforeLines="20" w:after="65" w:afterLines="20" w:line="360" w:lineRule="auto"/>
      <w:ind w:left="1259" w:hanging="420" w:firstLineChars="200"/>
    </w:pPr>
    <w:rPr>
      <w:bCs/>
    </w:rPr>
  </w:style>
  <w:style w:type="character" w:customStyle="1" w:styleId="778">
    <w:name w:val="正文文本 2 Char"/>
    <w:qFormat/>
    <w:uiPriority w:val="0"/>
    <w:rPr>
      <w:rFonts w:ascii="宋体"/>
      <w:kern w:val="2"/>
      <w:sz w:val="24"/>
      <w:szCs w:val="24"/>
    </w:rPr>
  </w:style>
  <w:style w:type="paragraph" w:customStyle="1" w:styleId="779">
    <w:name w:val="正文1"/>
    <w:basedOn w:val="1"/>
    <w:link w:val="780"/>
    <w:qFormat/>
    <w:uiPriority w:val="0"/>
    <w:pPr>
      <w:spacing w:before="120" w:beforeLines="50" w:after="120" w:afterLines="50" w:line="400" w:lineRule="exact"/>
      <w:ind w:firstLine="480" w:firstLineChars="200"/>
    </w:pPr>
    <w:rPr>
      <w:bCs/>
      <w:szCs w:val="20"/>
    </w:rPr>
  </w:style>
  <w:style w:type="character" w:customStyle="1" w:styleId="780">
    <w:name w:val="正文1 Char"/>
    <w:link w:val="779"/>
    <w:qFormat/>
    <w:uiPriority w:val="0"/>
    <w:rPr>
      <w:bCs/>
      <w:kern w:val="2"/>
      <w:sz w:val="24"/>
    </w:rPr>
  </w:style>
  <w:style w:type="paragraph" w:customStyle="1" w:styleId="781">
    <w:name w:val="正文3"/>
    <w:basedOn w:val="1"/>
    <w:qFormat/>
    <w:uiPriority w:val="0"/>
    <w:pPr>
      <w:widowControl/>
      <w:overflowPunct w:val="0"/>
      <w:autoSpaceDE w:val="0"/>
      <w:autoSpaceDN w:val="0"/>
      <w:adjustRightInd w:val="0"/>
      <w:spacing w:before="120" w:beforeLines="50" w:after="120" w:afterLines="50" w:line="360" w:lineRule="auto"/>
      <w:ind w:firstLine="480" w:firstLineChars="200"/>
      <w:textAlignment w:val="baseline"/>
    </w:pPr>
    <w:rPr>
      <w:bCs/>
      <w:kern w:val="0"/>
      <w:szCs w:val="20"/>
    </w:rPr>
  </w:style>
  <w:style w:type="paragraph" w:customStyle="1" w:styleId="782">
    <w:name w:val="paragraph"/>
    <w:basedOn w:val="31"/>
    <w:qFormat/>
    <w:uiPriority w:val="0"/>
    <w:pPr>
      <w:spacing w:before="163" w:beforeLines="50" w:after="163" w:afterLines="50" w:line="360" w:lineRule="auto"/>
      <w:ind w:firstLine="480" w:firstLineChars="200"/>
    </w:pPr>
    <w:rPr>
      <w:bCs/>
    </w:rPr>
  </w:style>
  <w:style w:type="paragraph" w:customStyle="1" w:styleId="783">
    <w:name w:val="a-10-03"/>
    <w:basedOn w:val="1"/>
    <w:qFormat/>
    <w:uiPriority w:val="0"/>
    <w:pPr>
      <w:tabs>
        <w:tab w:val="left" w:pos="284"/>
        <w:tab w:val="left" w:pos="2126"/>
        <w:tab w:val="left" w:pos="2410"/>
      </w:tabs>
      <w:autoSpaceDE w:val="0"/>
      <w:autoSpaceDN w:val="0"/>
      <w:adjustRightInd w:val="0"/>
      <w:spacing w:before="72" w:beforeLines="50" w:after="72" w:afterLines="50" w:line="360" w:lineRule="auto"/>
      <w:ind w:right="1503" w:firstLine="480" w:firstLineChars="200"/>
      <w:textAlignment w:val="baseline"/>
    </w:pPr>
    <w:rPr>
      <w:rFonts w:ascii="MingLiU" w:eastAsia="MingLiU"/>
      <w:bCs/>
      <w:color w:val="000080"/>
      <w:kern w:val="0"/>
      <w:sz w:val="16"/>
      <w:szCs w:val="20"/>
      <w:lang w:eastAsia="zh-TW"/>
    </w:rPr>
  </w:style>
  <w:style w:type="paragraph" w:customStyle="1" w:styleId="784">
    <w:name w:val="样式 标题 3Level 3 HeadH3h31.1.1 Heading 3sect1.2.33rd level3..."/>
    <w:basedOn w:val="5"/>
    <w:qFormat/>
    <w:uiPriority w:val="0"/>
    <w:pPr>
      <w:numPr>
        <w:ilvl w:val="0"/>
        <w:numId w:val="0"/>
      </w:numPr>
      <w:tabs>
        <w:tab w:val="left" w:pos="425"/>
      </w:tabs>
      <w:spacing w:before="468" w:beforeLines="150" w:after="312" w:afterLines="100"/>
      <w:ind w:left="720" w:hanging="425"/>
    </w:pPr>
    <w:rPr>
      <w:rFonts w:eastAsia="黑体" w:cs="宋体"/>
      <w:bCs w:val="0"/>
      <w:color w:val="000000"/>
      <w:sz w:val="32"/>
      <w:szCs w:val="20"/>
    </w:rPr>
  </w:style>
  <w:style w:type="paragraph" w:customStyle="1" w:styleId="785">
    <w:name w:val="样式 标题 4h4H4PIM 4l4sect 1.2.3.4Ref Heading 1rh1Heading sq..."/>
    <w:basedOn w:val="6"/>
    <w:qFormat/>
    <w:uiPriority w:val="0"/>
    <w:pPr>
      <w:numPr>
        <w:ilvl w:val="0"/>
        <w:numId w:val="0"/>
      </w:numPr>
      <w:tabs>
        <w:tab w:val="left" w:pos="2880"/>
      </w:tabs>
      <w:spacing w:before="100" w:beforeLines="100" w:after="50" w:afterLines="50"/>
      <w:ind w:left="862" w:hanging="862"/>
    </w:pPr>
    <w:rPr>
      <w:rFonts w:eastAsia="黑体" w:cs="宋体"/>
      <w:bCs w:val="0"/>
      <w:color w:val="auto"/>
      <w:sz w:val="28"/>
      <w:szCs w:val="20"/>
    </w:rPr>
  </w:style>
  <w:style w:type="paragraph" w:customStyle="1" w:styleId="786">
    <w:name w:val="样式7"/>
    <w:basedOn w:val="1"/>
    <w:qFormat/>
    <w:uiPriority w:val="0"/>
    <w:pPr>
      <w:autoSpaceDE w:val="0"/>
      <w:autoSpaceDN w:val="0"/>
      <w:adjustRightInd w:val="0"/>
      <w:spacing w:before="120" w:beforeLines="50" w:after="120" w:afterLines="50" w:line="440" w:lineRule="atLeast"/>
      <w:ind w:firstLine="601" w:firstLineChars="200"/>
      <w:textAlignment w:val="baseline"/>
    </w:pPr>
    <w:rPr>
      <w:bCs/>
      <w:kern w:val="0"/>
      <w:szCs w:val="20"/>
    </w:rPr>
  </w:style>
  <w:style w:type="paragraph" w:customStyle="1" w:styleId="787">
    <w:name w:val="样式 标题 3Level 3 HeadH3h31.1.1 Heading 3sect1.2.33rd level3...1"/>
    <w:basedOn w:val="5"/>
    <w:qFormat/>
    <w:uiPriority w:val="0"/>
    <w:pPr>
      <w:spacing w:before="150" w:beforeLines="150" w:after="100" w:afterLines="100"/>
      <w:ind w:left="432" w:hanging="720"/>
    </w:pPr>
    <w:rPr>
      <w:rFonts w:eastAsia="黑体" w:cs="宋体"/>
      <w:bCs w:val="0"/>
      <w:color w:val="000000"/>
      <w:sz w:val="30"/>
      <w:szCs w:val="20"/>
    </w:rPr>
  </w:style>
  <w:style w:type="paragraph" w:customStyle="1" w:styleId="788">
    <w:name w:val="样式 标题 5H5dashdsddh5PIM 5h51heading 51h52heading 52h53..."/>
    <w:basedOn w:val="7"/>
    <w:qFormat/>
    <w:uiPriority w:val="0"/>
    <w:pPr>
      <w:keepNext w:val="0"/>
      <w:keepLines w:val="0"/>
      <w:spacing w:before="50" w:beforeLines="50" w:after="50" w:afterLines="50" w:line="360" w:lineRule="auto"/>
      <w:ind w:left="1009" w:hanging="1009"/>
      <w:jc w:val="left"/>
    </w:pPr>
    <w:rPr>
      <w:rFonts w:eastAsia="黑体" w:cs="宋体"/>
      <w:bCs w:val="0"/>
      <w:kern w:val="0"/>
      <w:szCs w:val="20"/>
    </w:rPr>
  </w:style>
  <w:style w:type="paragraph" w:customStyle="1" w:styleId="789">
    <w:name w:val="number1--"/>
    <w:basedOn w:val="753"/>
    <w:link w:val="790"/>
    <w:qFormat/>
    <w:uiPriority w:val="0"/>
    <w:pPr>
      <w:tabs>
        <w:tab w:val="clear" w:pos="-960"/>
      </w:tabs>
      <w:spacing w:after="93" w:line="360" w:lineRule="auto"/>
      <w:ind w:left="144" w:hanging="144"/>
    </w:pPr>
    <w:rPr>
      <w:rFonts w:ascii="Arial" w:hAnsi="Arial" w:cs="Arial"/>
    </w:rPr>
  </w:style>
  <w:style w:type="character" w:customStyle="1" w:styleId="790">
    <w:name w:val="number1-- Char"/>
    <w:link w:val="789"/>
    <w:qFormat/>
    <w:uiPriority w:val="0"/>
    <w:rPr>
      <w:rFonts w:ascii="Arial" w:hAnsi="Arial" w:cs="Arial"/>
      <w:bCs/>
      <w:kern w:val="2"/>
      <w:sz w:val="24"/>
      <w:szCs w:val="24"/>
    </w:rPr>
  </w:style>
  <w:style w:type="paragraph" w:customStyle="1" w:styleId="791">
    <w:name w:val="样式 number1 + (符号) 宋体"/>
    <w:basedOn w:val="753"/>
    <w:link w:val="792"/>
    <w:qFormat/>
    <w:uiPriority w:val="0"/>
    <w:pPr>
      <w:tabs>
        <w:tab w:val="clear" w:pos="-960"/>
      </w:tabs>
      <w:spacing w:line="360" w:lineRule="auto"/>
      <w:ind w:left="400" w:leftChars="200" w:hanging="200" w:hangingChars="200"/>
    </w:pPr>
    <w:rPr>
      <w:rFonts w:cs="Arial"/>
    </w:rPr>
  </w:style>
  <w:style w:type="character" w:customStyle="1" w:styleId="792">
    <w:name w:val="样式 number1 + (符号) 宋体 Char"/>
    <w:link w:val="791"/>
    <w:qFormat/>
    <w:uiPriority w:val="0"/>
    <w:rPr>
      <w:rFonts w:cs="Arial"/>
      <w:bCs/>
      <w:kern w:val="2"/>
      <w:sz w:val="24"/>
      <w:szCs w:val="24"/>
    </w:rPr>
  </w:style>
  <w:style w:type="paragraph" w:customStyle="1" w:styleId="793">
    <w:name w:val="样式 样式 标题 3Level 3 HeadH3h31.1.1 Heading 3sect1.2.33rd level3...1..."/>
    <w:basedOn w:val="787"/>
    <w:qFormat/>
    <w:uiPriority w:val="0"/>
    <w:pPr>
      <w:ind w:left="720"/>
    </w:pPr>
  </w:style>
  <w:style w:type="paragraph" w:customStyle="1" w:styleId="794">
    <w:name w:val="样式 样式 标题 3Level 3 HeadH3h31.1.1 Heading 3sect1.2.33rd level3...1...1"/>
    <w:basedOn w:val="787"/>
    <w:qFormat/>
    <w:uiPriority w:val="0"/>
    <w:pPr>
      <w:ind w:left="720"/>
    </w:pPr>
  </w:style>
  <w:style w:type="paragraph" w:customStyle="1" w:styleId="795">
    <w:name w:val="样式 标题 4h4H4PIM 4l4sect 1.2.3.4Ref Heading 1rh1Heading sq...1"/>
    <w:basedOn w:val="6"/>
    <w:qFormat/>
    <w:uiPriority w:val="0"/>
    <w:pPr>
      <w:spacing w:before="100" w:beforeLines="100" w:after="50" w:afterLines="50"/>
      <w:ind w:left="576" w:hanging="864"/>
    </w:pPr>
    <w:rPr>
      <w:rFonts w:eastAsia="黑体" w:cs="宋体"/>
      <w:bCs w:val="0"/>
      <w:color w:val="auto"/>
      <w:sz w:val="28"/>
      <w:szCs w:val="20"/>
    </w:rPr>
  </w:style>
  <w:style w:type="paragraph" w:customStyle="1" w:styleId="796">
    <w:name w:val="样式 标题 4h4H4PIM 4l4sect 1.2.3.4Ref Heading 1rh1Heading sq...2"/>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797">
    <w:name w:val="样式 样式 标题 3Level 3 HeadH3h31.1.1 Heading 3sect1.2.33rd level3...1...2"/>
    <w:basedOn w:val="787"/>
    <w:qFormat/>
    <w:uiPriority w:val="0"/>
    <w:pPr>
      <w:ind w:left="720"/>
    </w:pPr>
  </w:style>
  <w:style w:type="paragraph" w:customStyle="1" w:styleId="798">
    <w:name w:val="样式 标题 4h4H4PIM 4l4sect 1.2.3.4Ref Heading 1rh1Heading sq...3"/>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799">
    <w:name w:val="样式 标题 4h4H4PIM 4l4sect 1.2.3.4Ref Heading 1rh1Heading sq...4"/>
    <w:basedOn w:val="6"/>
    <w:qFormat/>
    <w:uiPriority w:val="0"/>
    <w:pPr>
      <w:spacing w:before="100" w:beforeLines="100" w:after="50" w:afterLines="50"/>
      <w:ind w:left="576" w:hanging="864"/>
    </w:pPr>
    <w:rPr>
      <w:rFonts w:eastAsia="黑体" w:cs="宋体"/>
      <w:bCs w:val="0"/>
      <w:color w:val="auto"/>
      <w:sz w:val="28"/>
      <w:szCs w:val="20"/>
    </w:rPr>
  </w:style>
  <w:style w:type="paragraph" w:customStyle="1" w:styleId="800">
    <w:name w:val="样式 样式 标题 3Level 3 HeadH3h31.1.1 Heading 3sect1.2.33rd level3...1...3"/>
    <w:basedOn w:val="787"/>
    <w:qFormat/>
    <w:uiPriority w:val="0"/>
  </w:style>
  <w:style w:type="paragraph" w:customStyle="1" w:styleId="801">
    <w:name w:val="样式 标题 4h4H4PIM 4l4sect 1.2.3.4Ref Heading 1rh1Heading sq...5"/>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802">
    <w:name w:val="样式 样式 标题 3Level 3 HeadH3h31.1.1 Heading 3sect1.2.33rd level3...1...4"/>
    <w:basedOn w:val="787"/>
    <w:qFormat/>
    <w:uiPriority w:val="0"/>
  </w:style>
  <w:style w:type="paragraph" w:customStyle="1" w:styleId="803">
    <w:name w:val="样式 标题 4h4H4PIM 4l4sect 1.2.3.4Ref Heading 1rh1Heading sq...6"/>
    <w:basedOn w:val="6"/>
    <w:qFormat/>
    <w:uiPriority w:val="0"/>
    <w:pPr>
      <w:spacing w:before="100" w:beforeLines="100" w:after="50" w:afterLines="50"/>
      <w:ind w:left="580" w:hanging="410"/>
    </w:pPr>
    <w:rPr>
      <w:rFonts w:eastAsia="黑体" w:cs="宋体"/>
      <w:bCs w:val="0"/>
      <w:color w:val="auto"/>
      <w:sz w:val="28"/>
      <w:szCs w:val="20"/>
    </w:rPr>
  </w:style>
  <w:style w:type="paragraph" w:customStyle="1" w:styleId="804">
    <w:name w:val="para"/>
    <w:basedOn w:val="1"/>
    <w:qFormat/>
    <w:uiPriority w:val="0"/>
    <w:pPr>
      <w:widowControl/>
      <w:spacing w:before="100" w:beforeLines="50" w:beforeAutospacing="1" w:after="100" w:afterLines="50" w:afterAutospacing="1" w:line="360" w:lineRule="auto"/>
      <w:ind w:firstLine="480" w:firstLineChars="200"/>
      <w:jc w:val="left"/>
    </w:pPr>
    <w:rPr>
      <w:rFonts w:ascii="Arial" w:hAnsi="Arial" w:eastAsia="Arial Unicode MS" w:cs="Arial"/>
      <w:bCs/>
      <w:kern w:val="0"/>
      <w:sz w:val="18"/>
      <w:szCs w:val="18"/>
    </w:rPr>
  </w:style>
  <w:style w:type="paragraph" w:customStyle="1" w:styleId="805">
    <w:name w:val="样式 样式 标题 4h4H4PIM 4l4sect 1.2.3.4Ref Heading 1rh1Heading sq...1 ..."/>
    <w:basedOn w:val="795"/>
    <w:qFormat/>
    <w:uiPriority w:val="0"/>
  </w:style>
  <w:style w:type="paragraph" w:customStyle="1" w:styleId="806">
    <w:name w:val="样式 样式 样式 标题 4h4H4PIM 4l4sect 1.2.3.4Ref Heading 1rh1Heading sq....."/>
    <w:basedOn w:val="805"/>
    <w:qFormat/>
    <w:uiPriority w:val="0"/>
    <w:pPr>
      <w:ind w:left="862" w:hanging="862"/>
    </w:pPr>
  </w:style>
  <w:style w:type="paragraph" w:customStyle="1" w:styleId="807">
    <w:name w:val="样式 标题 2H21.1sect 1.2HD2Heading 2 HiddenHeading 2 CCBSTitr..."/>
    <w:basedOn w:val="4"/>
    <w:qFormat/>
    <w:uiPriority w:val="0"/>
    <w:pPr>
      <w:spacing w:before="150" w:beforeLines="150" w:after="100" w:afterLines="100"/>
      <w:ind w:left="576" w:hanging="576"/>
    </w:pPr>
    <w:rPr>
      <w:rFonts w:eastAsia="黑体" w:cs="宋体"/>
      <w:bCs w:val="0"/>
      <w:sz w:val="32"/>
      <w:szCs w:val="20"/>
    </w:rPr>
  </w:style>
  <w:style w:type="paragraph" w:customStyle="1" w:styleId="808">
    <w:name w:val="样式 样式 样式 标题 3Level 3 HeadH3h31.1.1 Heading 3sect1.2.33rd level3...."/>
    <w:basedOn w:val="800"/>
    <w:qFormat/>
    <w:uiPriority w:val="0"/>
  </w:style>
  <w:style w:type="paragraph" w:customStyle="1" w:styleId="809">
    <w:name w:val="样式 样式 标题 4h4H4PIM 4l4sect 1.2.3.4Ref Heading 1rh1Heading sq...4 ..."/>
    <w:basedOn w:val="799"/>
    <w:qFormat/>
    <w:uiPriority w:val="0"/>
    <w:pPr>
      <w:ind w:left="862" w:hanging="862"/>
    </w:pPr>
  </w:style>
  <w:style w:type="paragraph" w:customStyle="1" w:styleId="810">
    <w:name w:val="样式 标题 4h4H4PIM 4l4sect 1.2.3.4Ref Heading 1rh1Heading sq...7"/>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811">
    <w:name w:val="样式 标题 4h4H4PIM 4l4sect 1.2.3.4Ref Heading 1rh1Heading sq...8"/>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812">
    <w:name w:val="样式 标题 4h4H4PIM 4l4sect 1.2.3.4Ref Heading 1rh1Heading sq...9"/>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813">
    <w:name w:val="样式 标题 4h4H4PIM 4l4sect 1.2.3.4Ref Heading 1rh1Heading sq...10"/>
    <w:basedOn w:val="6"/>
    <w:qFormat/>
    <w:uiPriority w:val="0"/>
    <w:pPr>
      <w:spacing w:before="100" w:beforeLines="100" w:after="50" w:afterLines="50"/>
      <w:ind w:left="862" w:hanging="862"/>
    </w:pPr>
    <w:rPr>
      <w:rFonts w:eastAsia="黑体" w:cs="宋体"/>
      <w:bCs w:val="0"/>
      <w:color w:val="auto"/>
      <w:sz w:val="28"/>
      <w:szCs w:val="20"/>
    </w:rPr>
  </w:style>
  <w:style w:type="paragraph" w:customStyle="1" w:styleId="814">
    <w:name w:val="样式 样式 样式 样式 标题 3Level 3 HeadH3h31.1.1 Heading 3sect1.2.33rd leve..."/>
    <w:basedOn w:val="808"/>
    <w:qFormat/>
    <w:uiPriority w:val="0"/>
  </w:style>
  <w:style w:type="paragraph" w:customStyle="1" w:styleId="815">
    <w:name w:val="样式 样式 样式 标题 3Level 3 HeadH3h31.1.1 Heading 3sect1.2.33rd level3....1"/>
    <w:basedOn w:val="802"/>
    <w:qFormat/>
    <w:uiPriority w:val="0"/>
    <w:pPr>
      <w:ind w:left="436" w:hanging="436"/>
    </w:pPr>
  </w:style>
  <w:style w:type="paragraph" w:customStyle="1" w:styleId="816">
    <w:name w:val="样式 标题 3Level 3 HeadH3h31.1.1 Heading 3sect1.2.33rd level3...2"/>
    <w:basedOn w:val="5"/>
    <w:qFormat/>
    <w:uiPriority w:val="0"/>
    <w:pPr>
      <w:spacing w:before="150" w:beforeLines="150" w:after="100" w:afterLines="100" w:line="415" w:lineRule="auto"/>
      <w:ind w:left="720" w:hanging="720"/>
    </w:pPr>
    <w:rPr>
      <w:rFonts w:eastAsia="黑体" w:cs="宋体"/>
      <w:bCs w:val="0"/>
      <w:color w:val="000000"/>
      <w:sz w:val="30"/>
      <w:szCs w:val="20"/>
    </w:rPr>
  </w:style>
  <w:style w:type="paragraph" w:customStyle="1" w:styleId="817">
    <w:name w:val="样式 标题 4h4H4PIM 4l4sect 1.2.3.4Ref Heading 1rh1Heading sq...11"/>
    <w:basedOn w:val="6"/>
    <w:qFormat/>
    <w:uiPriority w:val="0"/>
    <w:pPr>
      <w:spacing w:before="100" w:beforeLines="100" w:after="50" w:afterLines="50" w:line="415" w:lineRule="auto"/>
      <w:ind w:left="862" w:hanging="862"/>
    </w:pPr>
    <w:rPr>
      <w:rFonts w:eastAsia="黑体" w:cs="宋体"/>
      <w:bCs w:val="0"/>
      <w:color w:val="auto"/>
      <w:sz w:val="28"/>
      <w:szCs w:val="20"/>
    </w:rPr>
  </w:style>
  <w:style w:type="character" w:customStyle="1" w:styleId="818">
    <w:name w:val="HTML 预设格式 Char"/>
    <w:qFormat/>
    <w:uiPriority w:val="99"/>
    <w:rPr>
      <w:rFonts w:ascii="Courier New" w:hAnsi="Courier New" w:cs="Courier New"/>
      <w:kern w:val="2"/>
    </w:rPr>
  </w:style>
  <w:style w:type="paragraph" w:customStyle="1" w:styleId="819">
    <w:name w:val="a14"/>
    <w:basedOn w:val="1"/>
    <w:qFormat/>
    <w:uiPriority w:val="0"/>
    <w:pPr>
      <w:widowControl/>
      <w:spacing w:before="100" w:beforeLines="50" w:beforeAutospacing="1" w:after="100" w:afterLines="50" w:afterAutospacing="1" w:line="300" w:lineRule="atLeast"/>
      <w:ind w:firstLine="375" w:firstLineChars="200"/>
      <w:jc w:val="left"/>
    </w:pPr>
    <w:rPr>
      <w:rFonts w:hAnsi="宋体" w:cs="宋体"/>
      <w:bCs/>
      <w:kern w:val="0"/>
      <w:szCs w:val="21"/>
    </w:rPr>
  </w:style>
  <w:style w:type="paragraph" w:customStyle="1" w:styleId="820">
    <w:name w:val="paragraph1 + 仿宋_GB2312"/>
    <w:basedOn w:val="819"/>
    <w:qFormat/>
    <w:uiPriority w:val="0"/>
    <w:pPr>
      <w:spacing w:after="93"/>
    </w:pPr>
    <w:rPr>
      <w:rFonts w:ascii="仿宋_GB2312" w:hAnsi="Times New Roman" w:eastAsia="仿宋_GB2312" w:cs="Times New Roman"/>
      <w:kern w:val="2"/>
      <w:szCs w:val="24"/>
    </w:rPr>
  </w:style>
  <w:style w:type="character" w:customStyle="1" w:styleId="821">
    <w:name w:val="chanpinname"/>
    <w:qFormat/>
    <w:uiPriority w:val="0"/>
  </w:style>
  <w:style w:type="character" w:customStyle="1" w:styleId="822">
    <w:name w:val="blacktext"/>
    <w:qFormat/>
    <w:uiPriority w:val="0"/>
  </w:style>
  <w:style w:type="paragraph" w:customStyle="1" w:styleId="823">
    <w:name w:val="正文 + 仿宋_GB2312"/>
    <w:basedOn w:val="74"/>
    <w:qFormat/>
    <w:uiPriority w:val="0"/>
    <w:pPr>
      <w:tabs>
        <w:tab w:val="clear" w:pos="360"/>
      </w:tabs>
    </w:pPr>
    <w:rPr>
      <w:bCs w:val="0"/>
    </w:rPr>
  </w:style>
  <w:style w:type="paragraph" w:customStyle="1" w:styleId="824">
    <w:name w:val="Char Char Char Char Char Char Char Char Char Char"/>
    <w:basedOn w:val="1"/>
    <w:qFormat/>
    <w:uiPriority w:val="0"/>
    <w:pPr>
      <w:spacing w:before="120" w:beforeLines="50" w:after="120" w:afterLines="50" w:line="360" w:lineRule="auto"/>
      <w:ind w:firstLine="480" w:firstLineChars="200"/>
    </w:pPr>
    <w:rPr>
      <w:rFonts w:ascii="Tahoma" w:hAnsi="Tahoma"/>
      <w:bCs/>
      <w:szCs w:val="20"/>
    </w:rPr>
  </w:style>
  <w:style w:type="paragraph" w:customStyle="1" w:styleId="825">
    <w:name w:val="Default Paragraph Font Para Char"/>
    <w:basedOn w:val="1"/>
    <w:qFormat/>
    <w:uiPriority w:val="0"/>
    <w:pPr>
      <w:widowControl/>
      <w:spacing w:before="120" w:beforeLines="50" w:after="160" w:afterLines="50" w:line="240" w:lineRule="exact"/>
      <w:ind w:firstLine="480" w:firstLineChars="200"/>
      <w:jc w:val="left"/>
    </w:pPr>
    <w:rPr>
      <w:rFonts w:ascii="Verdana" w:hAnsi="Verdana"/>
      <w:bCs/>
      <w:kern w:val="0"/>
      <w:sz w:val="20"/>
      <w:szCs w:val="20"/>
      <w:lang w:eastAsia="en-US"/>
    </w:rPr>
  </w:style>
  <w:style w:type="paragraph" w:customStyle="1" w:styleId="826">
    <w:name w:val="样式 标题 41.1.1.1sect 1.1.1.1.h4H4bulletblbbPIM 4Heading F...1"/>
    <w:basedOn w:val="6"/>
    <w:qFormat/>
    <w:uiPriority w:val="0"/>
    <w:pPr>
      <w:spacing w:before="312" w:beforeLines="100" w:after="156" w:afterLines="50"/>
      <w:ind w:left="576" w:hanging="864"/>
    </w:pPr>
    <w:rPr>
      <w:rFonts w:ascii="仿宋_GB2312" w:hAnsi="仿宋_GB2312" w:eastAsia="仿宋_GB2312" w:cs="Times New Roman"/>
      <w:bCs w:val="0"/>
      <w:color w:val="auto"/>
      <w:sz w:val="28"/>
      <w:szCs w:val="28"/>
    </w:rPr>
  </w:style>
  <w:style w:type="paragraph" w:customStyle="1" w:styleId="827">
    <w:name w:val="Char Char Char Char Char Char Char Char Char Char Char"/>
    <w:basedOn w:val="1"/>
    <w:qFormat/>
    <w:uiPriority w:val="0"/>
    <w:pPr>
      <w:spacing w:before="120" w:beforeLines="50" w:after="120" w:afterLines="50" w:line="360" w:lineRule="auto"/>
      <w:ind w:firstLine="480" w:firstLineChars="200"/>
    </w:pPr>
    <w:rPr>
      <w:bCs/>
      <w:szCs w:val="20"/>
    </w:rPr>
  </w:style>
  <w:style w:type="paragraph" w:customStyle="1" w:styleId="828">
    <w:name w:val="信雅达"/>
    <w:basedOn w:val="1"/>
    <w:qFormat/>
    <w:uiPriority w:val="0"/>
    <w:pPr>
      <w:spacing w:before="120" w:beforeLines="50" w:after="120" w:afterLines="50" w:line="360" w:lineRule="auto"/>
      <w:ind w:firstLine="480" w:firstLineChars="200"/>
      <w:jc w:val="center"/>
    </w:pPr>
    <w:rPr>
      <w:rFonts w:eastAsia="华文中宋"/>
      <w:b/>
      <w:bCs/>
      <w:sz w:val="32"/>
    </w:rPr>
  </w:style>
  <w:style w:type="paragraph" w:customStyle="1" w:styleId="829">
    <w:name w:val="PI"/>
    <w:basedOn w:val="1"/>
    <w:next w:val="32"/>
    <w:qFormat/>
    <w:uiPriority w:val="0"/>
    <w:pPr>
      <w:spacing w:before="100" w:beforeLines="50" w:beforeAutospacing="1" w:after="120" w:afterLines="50" w:line="360" w:lineRule="auto"/>
      <w:ind w:left="420" w:leftChars="200" w:firstLine="420" w:firstLineChars="200"/>
    </w:pPr>
    <w:rPr>
      <w:bCs/>
      <w:kern w:val="28"/>
    </w:rPr>
  </w:style>
  <w:style w:type="paragraph" w:customStyle="1" w:styleId="830">
    <w:name w:val="std"/>
    <w:basedOn w:val="1"/>
    <w:qFormat/>
    <w:uiPriority w:val="0"/>
    <w:pPr>
      <w:widowControl/>
      <w:spacing w:before="100" w:beforeLines="50" w:beforeAutospacing="1" w:after="100" w:afterLines="50" w:afterAutospacing="1" w:line="360" w:lineRule="auto"/>
      <w:ind w:firstLine="480" w:firstLineChars="200"/>
      <w:jc w:val="left"/>
    </w:pPr>
    <w:rPr>
      <w:rFonts w:hAnsi="宋体"/>
      <w:bCs/>
      <w:color w:val="000000"/>
      <w:kern w:val="0"/>
    </w:rPr>
  </w:style>
  <w:style w:type="character" w:customStyle="1" w:styleId="831">
    <w:name w:val="q"/>
    <w:qFormat/>
    <w:uiPriority w:val="0"/>
  </w:style>
  <w:style w:type="paragraph" w:customStyle="1" w:styleId="832">
    <w:name w:val="样式 正文首行缩进 + 宋体 五号 首行缩进:  0 厘米 行距: 最小值 20 磅"/>
    <w:basedOn w:val="73"/>
    <w:qFormat/>
    <w:uiPriority w:val="0"/>
    <w:pPr>
      <w:adjustRightInd w:val="0"/>
      <w:spacing w:beforeLines="50" w:after="40" w:afterLines="50" w:line="400" w:lineRule="atLeast"/>
      <w:ind w:firstLine="480" w:firstLineChars="200"/>
      <w:jc w:val="left"/>
      <w:textAlignment w:val="baseline"/>
    </w:pPr>
    <w:rPr>
      <w:rFonts w:hAnsi="宋体"/>
      <w:bCs/>
      <w:szCs w:val="20"/>
    </w:rPr>
  </w:style>
  <w:style w:type="paragraph" w:customStyle="1" w:styleId="833">
    <w:name w:val="表格题注"/>
    <w:next w:val="1"/>
    <w:qFormat/>
    <w:uiPriority w:val="0"/>
    <w:pPr>
      <w:keepLines/>
      <w:numPr>
        <w:ilvl w:val="8"/>
        <w:numId w:val="25"/>
      </w:numPr>
      <w:tabs>
        <w:tab w:val="left" w:pos="780"/>
        <w:tab w:val="clear" w:pos="3780"/>
      </w:tabs>
      <w:spacing w:before="240" w:beforeLines="100"/>
      <w:ind w:left="780" w:leftChars="200" w:hanging="360" w:hangingChars="200"/>
      <w:jc w:val="center"/>
    </w:pPr>
    <w:rPr>
      <w:rFonts w:ascii="Arial" w:hAnsi="Arial" w:eastAsia="宋体" w:cs="Times New Roman"/>
      <w:sz w:val="18"/>
      <w:szCs w:val="18"/>
      <w:lang w:val="en-US" w:eastAsia="zh-CN" w:bidi="ar-SA"/>
    </w:rPr>
  </w:style>
  <w:style w:type="paragraph" w:customStyle="1" w:styleId="834">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835">
    <w:name w:val="表头文本"/>
    <w:qFormat/>
    <w:uiPriority w:val="0"/>
    <w:pPr>
      <w:jc w:val="center"/>
    </w:pPr>
    <w:rPr>
      <w:rFonts w:ascii="Arial" w:hAnsi="Arial" w:eastAsia="宋体" w:cs="Times New Roman"/>
      <w:b/>
      <w:sz w:val="21"/>
      <w:szCs w:val="21"/>
      <w:lang w:val="en-US" w:eastAsia="zh-CN" w:bidi="ar-SA"/>
    </w:rPr>
  </w:style>
  <w:style w:type="paragraph" w:customStyle="1" w:styleId="836">
    <w:name w:val="插图题注"/>
    <w:next w:val="1"/>
    <w:qFormat/>
    <w:uiPriority w:val="0"/>
    <w:pPr>
      <w:numPr>
        <w:ilvl w:val="0"/>
        <w:numId w:val="26"/>
      </w:numPr>
      <w:tabs>
        <w:tab w:val="left" w:pos="482"/>
        <w:tab w:val="clear" w:pos="420"/>
      </w:tabs>
      <w:spacing w:after="240" w:afterLines="100"/>
      <w:ind w:left="0" w:firstLine="0"/>
      <w:jc w:val="center"/>
    </w:pPr>
    <w:rPr>
      <w:rFonts w:ascii="Arial" w:hAnsi="Arial" w:eastAsia="宋体" w:cs="Times New Roman"/>
      <w:sz w:val="18"/>
      <w:szCs w:val="18"/>
      <w:lang w:val="en-US" w:eastAsia="zh-CN" w:bidi="ar-SA"/>
    </w:rPr>
  </w:style>
  <w:style w:type="paragraph" w:customStyle="1" w:styleId="837">
    <w:name w:val="图样式"/>
    <w:basedOn w:val="1"/>
    <w:qFormat/>
    <w:uiPriority w:val="0"/>
    <w:pPr>
      <w:keepNext/>
      <w:widowControl/>
      <w:snapToGrid w:val="0"/>
      <w:spacing w:before="80" w:beforeLines="50" w:after="80" w:afterLines="50" w:line="300" w:lineRule="auto"/>
      <w:ind w:left="851" w:firstLine="480" w:firstLineChars="200"/>
      <w:jc w:val="center"/>
    </w:pPr>
    <w:rPr>
      <w:rFonts w:ascii="Arial" w:hAnsi="Arial"/>
      <w:bCs/>
      <w:kern w:val="0"/>
      <w:szCs w:val="20"/>
    </w:rPr>
  </w:style>
  <w:style w:type="paragraph" w:customStyle="1" w:styleId="838">
    <w:name w:val="文档标题"/>
    <w:basedOn w:val="1"/>
    <w:qFormat/>
    <w:uiPriority w:val="0"/>
    <w:pPr>
      <w:widowControl/>
      <w:tabs>
        <w:tab w:val="left" w:pos="0"/>
      </w:tabs>
      <w:snapToGrid w:val="0"/>
      <w:spacing w:before="300" w:beforeLines="50" w:after="300" w:afterLines="50" w:line="300" w:lineRule="auto"/>
      <w:ind w:left="851" w:firstLine="480" w:firstLineChars="200"/>
      <w:jc w:val="center"/>
    </w:pPr>
    <w:rPr>
      <w:rFonts w:ascii="Arial" w:hAnsi="Arial" w:eastAsia="黑体"/>
      <w:bCs/>
      <w:kern w:val="0"/>
      <w:sz w:val="36"/>
      <w:szCs w:val="36"/>
    </w:rPr>
  </w:style>
  <w:style w:type="character" w:customStyle="1" w:styleId="839">
    <w:name w:val="加粗项目符号"/>
    <w:qFormat/>
    <w:uiPriority w:val="0"/>
    <w:rPr>
      <w:b/>
      <w:bCs/>
    </w:rPr>
  </w:style>
  <w:style w:type="paragraph" w:customStyle="1" w:styleId="840">
    <w:name w:val="注示头"/>
    <w:basedOn w:val="1"/>
    <w:qFormat/>
    <w:uiPriority w:val="0"/>
    <w:pPr>
      <w:widowControl/>
      <w:pBdr>
        <w:top w:val="single" w:color="000000" w:sz="4" w:space="1"/>
      </w:pBdr>
      <w:snapToGrid w:val="0"/>
      <w:spacing w:before="40" w:beforeLines="50" w:after="40" w:afterLines="50" w:line="300" w:lineRule="auto"/>
      <w:ind w:left="851" w:firstLine="480" w:firstLineChars="200"/>
    </w:pPr>
    <w:rPr>
      <w:rFonts w:ascii="Arial" w:hAnsi="Arial" w:eastAsia="黑体"/>
      <w:bCs/>
      <w:kern w:val="0"/>
      <w:sz w:val="18"/>
      <w:szCs w:val="21"/>
    </w:rPr>
  </w:style>
  <w:style w:type="paragraph" w:customStyle="1" w:styleId="841">
    <w:name w:val="编写建议"/>
    <w:basedOn w:val="1"/>
    <w:qFormat/>
    <w:uiPriority w:val="0"/>
    <w:pPr>
      <w:widowControl/>
      <w:snapToGrid w:val="0"/>
      <w:spacing w:before="40" w:beforeLines="50" w:after="40" w:afterLines="50" w:line="300" w:lineRule="auto"/>
      <w:ind w:left="851" w:firstLine="420" w:firstLineChars="200"/>
      <w:jc w:val="left"/>
    </w:pPr>
    <w:rPr>
      <w:rFonts w:ascii="Arial" w:hAnsi="Arial" w:cs="Arial"/>
      <w:bCs/>
      <w:i/>
      <w:color w:val="0000FF"/>
      <w:kern w:val="0"/>
      <w:szCs w:val="21"/>
    </w:rPr>
  </w:style>
  <w:style w:type="paragraph" w:customStyle="1" w:styleId="842">
    <w:name w:val="正文小标题"/>
    <w:basedOn w:val="1"/>
    <w:qFormat/>
    <w:uiPriority w:val="0"/>
    <w:pPr>
      <w:widowControl/>
      <w:numPr>
        <w:ilvl w:val="0"/>
        <w:numId w:val="27"/>
      </w:numPr>
      <w:tabs>
        <w:tab w:val="left" w:pos="980"/>
        <w:tab w:val="clear" w:pos="420"/>
      </w:tabs>
      <w:snapToGrid w:val="0"/>
      <w:spacing w:before="40" w:beforeLines="50" w:after="40" w:afterLines="50" w:line="300" w:lineRule="auto"/>
      <w:ind w:left="0" w:firstLine="200" w:firstLineChars="200"/>
      <w:jc w:val="left"/>
    </w:pPr>
    <w:rPr>
      <w:rFonts w:ascii="Arial" w:hAnsi="Arial" w:cs="宋体"/>
      <w:b/>
      <w:kern w:val="0"/>
      <w:szCs w:val="20"/>
    </w:rPr>
  </w:style>
  <w:style w:type="paragraph" w:customStyle="1" w:styleId="843">
    <w:name w:val="表头"/>
    <w:basedOn w:val="1"/>
    <w:qFormat/>
    <w:uiPriority w:val="0"/>
    <w:pPr>
      <w:autoSpaceDE w:val="0"/>
      <w:autoSpaceDN w:val="0"/>
      <w:adjustRightInd w:val="0"/>
      <w:spacing w:before="80" w:beforeLines="50" w:after="80" w:afterLines="50" w:line="300" w:lineRule="auto"/>
      <w:ind w:left="1701" w:firstLine="480" w:firstLineChars="200"/>
      <w:jc w:val="center"/>
    </w:pPr>
    <w:rPr>
      <w:rFonts w:ascii="Arial" w:hAnsi="Arial"/>
      <w:bCs/>
      <w:kern w:val="0"/>
      <w:sz w:val="18"/>
      <w:szCs w:val="21"/>
    </w:rPr>
  </w:style>
  <w:style w:type="paragraph" w:customStyle="1" w:styleId="844">
    <w:name w:val="样式 表格文本 + 两端对齐 左侧:  3 厘米 段前: 4 磅 段后: 4 磅 行距: 多倍行距 1.25 字行"/>
    <w:basedOn w:val="834"/>
    <w:qFormat/>
    <w:uiPriority w:val="0"/>
    <w:pPr>
      <w:spacing w:before="80" w:after="80" w:line="300" w:lineRule="auto"/>
      <w:ind w:left="1701"/>
    </w:pPr>
    <w:rPr>
      <w:rFonts w:cs="宋体"/>
      <w:szCs w:val="20"/>
    </w:rPr>
  </w:style>
  <w:style w:type="paragraph" w:customStyle="1" w:styleId="845">
    <w:name w:val="自定义表格"/>
    <w:basedOn w:val="1"/>
    <w:qFormat/>
    <w:uiPriority w:val="0"/>
    <w:pPr>
      <w:widowControl/>
      <w:snapToGrid w:val="0"/>
      <w:spacing w:before="80" w:beforeLines="50" w:after="80" w:afterLines="50" w:line="360" w:lineRule="auto"/>
      <w:ind w:firstLine="480" w:firstLineChars="200"/>
    </w:pPr>
    <w:rPr>
      <w:rFonts w:cs="宋体"/>
      <w:bCs/>
      <w:kern w:val="0"/>
      <w:szCs w:val="20"/>
    </w:rPr>
  </w:style>
  <w:style w:type="paragraph" w:customStyle="1" w:styleId="846">
    <w:name w:val="大标题"/>
    <w:basedOn w:val="1"/>
    <w:qFormat/>
    <w:uiPriority w:val="0"/>
    <w:pPr>
      <w:widowControl/>
      <w:snapToGrid w:val="0"/>
      <w:spacing w:before="40" w:beforeLines="50" w:after="40" w:afterLines="50" w:line="300" w:lineRule="auto"/>
      <w:ind w:left="851" w:firstLine="480" w:firstLineChars="200"/>
      <w:jc w:val="center"/>
    </w:pPr>
    <w:rPr>
      <w:rFonts w:ascii="Arial" w:hAnsi="Arial" w:cs="宋体"/>
      <w:b/>
      <w:kern w:val="0"/>
      <w:sz w:val="44"/>
      <w:szCs w:val="20"/>
    </w:rPr>
  </w:style>
  <w:style w:type="paragraph" w:customStyle="1" w:styleId="847">
    <w:name w:val="样式 小四 加粗 左 行距: 单倍行距"/>
    <w:basedOn w:val="1"/>
    <w:qFormat/>
    <w:uiPriority w:val="0"/>
    <w:pPr>
      <w:widowControl/>
      <w:numPr>
        <w:ilvl w:val="0"/>
        <w:numId w:val="28"/>
      </w:numPr>
      <w:tabs>
        <w:tab w:val="left" w:pos="785"/>
        <w:tab w:val="clear" w:pos="900"/>
      </w:tabs>
      <w:snapToGrid w:val="0"/>
      <w:spacing w:before="40" w:beforeLines="50" w:after="40" w:afterLines="50" w:line="300" w:lineRule="auto"/>
      <w:ind w:left="170" w:firstLine="200" w:firstLineChars="200"/>
      <w:jc w:val="left"/>
    </w:pPr>
    <w:rPr>
      <w:rFonts w:ascii="Arial" w:hAnsi="Arial"/>
      <w:bCs/>
      <w:kern w:val="0"/>
      <w:szCs w:val="20"/>
    </w:rPr>
  </w:style>
  <w:style w:type="paragraph" w:customStyle="1" w:styleId="848">
    <w:name w:val="temp"/>
    <w:basedOn w:val="1"/>
    <w:qFormat/>
    <w:uiPriority w:val="0"/>
    <w:pPr>
      <w:spacing w:before="120" w:beforeLines="50" w:after="120" w:afterLines="50" w:line="0" w:lineRule="atLeast"/>
      <w:ind w:firstLine="480" w:firstLineChars="200"/>
      <w:jc w:val="center"/>
    </w:pPr>
    <w:rPr>
      <w:rFonts w:ascii="Arial" w:hAnsi="Arial" w:eastAsia="楷体_GB2312"/>
      <w:bCs/>
      <w:sz w:val="14"/>
      <w:szCs w:val="20"/>
    </w:rPr>
  </w:style>
  <w:style w:type="paragraph" w:customStyle="1" w:styleId="849">
    <w:name w:val="简单回函地址"/>
    <w:basedOn w:val="1"/>
    <w:qFormat/>
    <w:uiPriority w:val="0"/>
    <w:pPr>
      <w:widowControl/>
      <w:numPr>
        <w:ilvl w:val="0"/>
        <w:numId w:val="29"/>
      </w:numPr>
      <w:tabs>
        <w:tab w:val="left" w:pos="420"/>
        <w:tab w:val="clear" w:pos="785"/>
      </w:tabs>
      <w:snapToGrid w:val="0"/>
      <w:spacing w:before="80" w:beforeLines="50" w:after="80" w:afterLines="50" w:line="300" w:lineRule="auto"/>
      <w:ind w:left="1701" w:firstLine="0" w:firstLineChars="200"/>
    </w:pPr>
    <w:rPr>
      <w:rFonts w:ascii="Arial" w:hAnsi="Arial"/>
      <w:bCs/>
      <w:kern w:val="0"/>
      <w:szCs w:val="20"/>
    </w:rPr>
  </w:style>
  <w:style w:type="paragraph" w:customStyle="1" w:styleId="850">
    <w:name w:val="正文（首行不缩进）"/>
    <w:basedOn w:val="1"/>
    <w:qFormat/>
    <w:uiPriority w:val="0"/>
    <w:pPr>
      <w:widowControl/>
      <w:numPr>
        <w:ilvl w:val="0"/>
        <w:numId w:val="30"/>
      </w:numPr>
      <w:tabs>
        <w:tab w:val="clear" w:pos="-270"/>
      </w:tabs>
      <w:snapToGrid w:val="0"/>
      <w:spacing w:before="80" w:beforeLines="50" w:after="80" w:afterLines="50" w:line="300" w:lineRule="auto"/>
      <w:ind w:left="1701" w:firstLine="0" w:firstLineChars="200"/>
    </w:pPr>
    <w:rPr>
      <w:rFonts w:ascii="Arial" w:hAnsi="Arial"/>
      <w:bCs/>
      <w:kern w:val="0"/>
      <w:szCs w:val="20"/>
    </w:rPr>
  </w:style>
  <w:style w:type="paragraph" w:customStyle="1" w:styleId="851">
    <w:name w:val="注示文本"/>
    <w:basedOn w:val="1"/>
    <w:qFormat/>
    <w:uiPriority w:val="0"/>
    <w:pPr>
      <w:widowControl/>
      <w:pBdr>
        <w:bottom w:val="single" w:color="000000" w:sz="4" w:space="1"/>
      </w:pBdr>
      <w:snapToGrid w:val="0"/>
      <w:spacing w:before="80" w:beforeLines="50" w:after="80" w:afterLines="50" w:line="300" w:lineRule="auto"/>
      <w:ind w:left="1701" w:firstLine="360" w:firstLineChars="200"/>
    </w:pPr>
    <w:rPr>
      <w:rFonts w:ascii="Arial" w:hAnsi="Arial" w:eastAsia="楷体_GB2312"/>
      <w:bCs/>
      <w:kern w:val="0"/>
      <w:sz w:val="18"/>
      <w:szCs w:val="18"/>
    </w:rPr>
  </w:style>
  <w:style w:type="paragraph" w:customStyle="1" w:styleId="852">
    <w:name w:val="Item Step"/>
    <w:link w:val="1231"/>
    <w:qFormat/>
    <w:uiPriority w:val="0"/>
    <w:pPr>
      <w:spacing w:before="60" w:after="60" w:line="300" w:lineRule="auto"/>
      <w:jc w:val="both"/>
    </w:pPr>
    <w:rPr>
      <w:rFonts w:ascii="Arial" w:hAnsi="Arial" w:eastAsia="宋体" w:cs="Times New Roman"/>
      <w:sz w:val="24"/>
      <w:lang w:val="en-US" w:eastAsia="zh-CN" w:bidi="ar-SA"/>
    </w:rPr>
  </w:style>
  <w:style w:type="paragraph" w:customStyle="1" w:styleId="853">
    <w:name w:val="figure"/>
    <w:basedOn w:val="1"/>
    <w:next w:val="346"/>
    <w:qFormat/>
    <w:uiPriority w:val="0"/>
    <w:pPr>
      <w:keepNext/>
      <w:widowControl/>
      <w:snapToGrid w:val="0"/>
      <w:spacing w:before="80" w:beforeLines="50" w:after="80" w:afterLines="50" w:line="300" w:lineRule="auto"/>
      <w:ind w:firstLine="425" w:firstLineChars="200"/>
      <w:jc w:val="center"/>
    </w:pPr>
    <w:rPr>
      <w:rFonts w:ascii="Arial" w:hAnsi="Arial"/>
      <w:bCs/>
      <w:kern w:val="0"/>
      <w:szCs w:val="20"/>
    </w:rPr>
  </w:style>
  <w:style w:type="paragraph" w:customStyle="1" w:styleId="854">
    <w:name w:val="è±ê???±?"/>
    <w:basedOn w:val="1"/>
    <w:qFormat/>
    <w:uiPriority w:val="0"/>
    <w:pPr>
      <w:widowControl/>
      <w:numPr>
        <w:ilvl w:val="0"/>
        <w:numId w:val="31"/>
      </w:numPr>
      <w:tabs>
        <w:tab w:val="clear" w:pos="780"/>
      </w:tabs>
      <w:autoSpaceDE w:val="0"/>
      <w:autoSpaceDN w:val="0"/>
      <w:adjustRightInd w:val="0"/>
      <w:snapToGrid w:val="0"/>
      <w:spacing w:before="80" w:beforeLines="50" w:after="80" w:afterLines="50" w:line="300" w:lineRule="auto"/>
      <w:ind w:left="0" w:leftChars="0" w:firstLine="425" w:firstLineChars="0"/>
      <w:jc w:val="left"/>
    </w:pPr>
    <w:rPr>
      <w:rFonts w:hAnsi="Arial"/>
      <w:bCs/>
      <w:kern w:val="0"/>
      <w:szCs w:val="20"/>
    </w:rPr>
  </w:style>
  <w:style w:type="paragraph" w:customStyle="1" w:styleId="855">
    <w:name w:val="Figure Text"/>
    <w:qFormat/>
    <w:uiPriority w:val="0"/>
    <w:pPr>
      <w:snapToGrid w:val="0"/>
      <w:ind w:left="1701"/>
      <w:jc w:val="both"/>
    </w:pPr>
    <w:rPr>
      <w:rFonts w:ascii="Arial" w:hAnsi="Arial" w:eastAsia="楷体_GB2312" w:cs="Times New Roman"/>
      <w:sz w:val="18"/>
      <w:lang w:val="en-US" w:eastAsia="zh-CN" w:bidi="ar-SA"/>
    </w:rPr>
  </w:style>
  <w:style w:type="paragraph" w:customStyle="1" w:styleId="856">
    <w:name w:val="È±Ê¡ÎÄ±¾"/>
    <w:basedOn w:val="1"/>
    <w:qFormat/>
    <w:uiPriority w:val="0"/>
    <w:pPr>
      <w:widowControl/>
      <w:overflowPunct w:val="0"/>
      <w:autoSpaceDE w:val="0"/>
      <w:autoSpaceDN w:val="0"/>
      <w:adjustRightInd w:val="0"/>
      <w:snapToGrid w:val="0"/>
      <w:spacing w:before="80" w:beforeLines="50" w:after="80" w:afterLines="50" w:line="300" w:lineRule="auto"/>
      <w:ind w:firstLine="425" w:firstLineChars="200"/>
      <w:jc w:val="left"/>
      <w:textAlignment w:val="baseline"/>
    </w:pPr>
    <w:rPr>
      <w:rFonts w:ascii="Arial" w:hAnsi="Arial"/>
      <w:bCs/>
      <w:kern w:val="0"/>
      <w:szCs w:val="20"/>
    </w:rPr>
  </w:style>
  <w:style w:type="character" w:customStyle="1" w:styleId="857">
    <w:name w:val="Table Text Char Char"/>
    <w:qFormat/>
    <w:uiPriority w:val="0"/>
    <w:rPr>
      <w:rFonts w:ascii="Arial" w:hAnsi="Arial" w:eastAsia="宋体"/>
      <w:kern w:val="2"/>
      <w:sz w:val="18"/>
      <w:lang w:val="en-US" w:eastAsia="en-US" w:bidi="ar-SA"/>
    </w:rPr>
  </w:style>
  <w:style w:type="paragraph" w:customStyle="1" w:styleId="858">
    <w:name w:val="Notes Heading"/>
    <w:next w:val="348"/>
    <w:qFormat/>
    <w:uiPriority w:val="0"/>
    <w:pPr>
      <w:keepNext/>
      <w:pBdr>
        <w:top w:val="single" w:color="auto" w:sz="8" w:space="5"/>
      </w:pBdr>
      <w:snapToGrid w:val="0"/>
      <w:spacing w:before="80" w:after="80"/>
      <w:ind w:left="1701"/>
    </w:pPr>
    <w:rPr>
      <w:rFonts w:ascii="Arial" w:hAnsi="Arial" w:eastAsia="黑体" w:cs="Arial"/>
      <w:sz w:val="21"/>
      <w:szCs w:val="21"/>
      <w:lang w:val="en-US" w:eastAsia="zh-CN" w:bidi="ar-SA"/>
    </w:rPr>
  </w:style>
  <w:style w:type="paragraph" w:customStyle="1" w:styleId="859">
    <w:name w:val="缩进正文 Char"/>
    <w:basedOn w:val="1"/>
    <w:link w:val="860"/>
    <w:qFormat/>
    <w:uiPriority w:val="0"/>
    <w:pPr>
      <w:spacing w:before="100" w:beforeLines="50" w:beforeAutospacing="1" w:after="100" w:afterLines="50" w:afterAutospacing="1" w:line="360" w:lineRule="auto"/>
      <w:ind w:firstLine="480" w:firstLineChars="200"/>
    </w:pPr>
    <w:rPr>
      <w:bCs/>
    </w:rPr>
  </w:style>
  <w:style w:type="character" w:customStyle="1" w:styleId="860">
    <w:name w:val="缩进正文 Char Char"/>
    <w:link w:val="859"/>
    <w:qFormat/>
    <w:uiPriority w:val="0"/>
    <w:rPr>
      <w:bCs/>
      <w:kern w:val="2"/>
      <w:sz w:val="24"/>
      <w:szCs w:val="24"/>
    </w:rPr>
  </w:style>
  <w:style w:type="paragraph" w:customStyle="1" w:styleId="861">
    <w:name w:val="缩进正文"/>
    <w:basedOn w:val="1"/>
    <w:qFormat/>
    <w:uiPriority w:val="0"/>
    <w:pPr>
      <w:spacing w:before="100" w:beforeLines="50" w:beforeAutospacing="1" w:after="100" w:afterLines="50" w:afterAutospacing="1" w:line="360" w:lineRule="auto"/>
      <w:ind w:firstLine="480" w:firstLineChars="200"/>
    </w:pPr>
    <w:rPr>
      <w:bCs/>
    </w:rPr>
  </w:style>
  <w:style w:type="paragraph" w:customStyle="1" w:styleId="862">
    <w:name w:val="样式 首行缩进:  2 字符"/>
    <w:basedOn w:val="1"/>
    <w:qFormat/>
    <w:uiPriority w:val="0"/>
    <w:pPr>
      <w:spacing w:before="100" w:beforeLines="50" w:beforeAutospacing="1" w:after="120" w:afterLines="50" w:line="360" w:lineRule="auto"/>
      <w:ind w:firstLine="480" w:firstLineChars="200"/>
    </w:pPr>
    <w:rPr>
      <w:rFonts w:cs="宋体"/>
      <w:bCs/>
      <w:szCs w:val="20"/>
    </w:rPr>
  </w:style>
  <w:style w:type="paragraph" w:customStyle="1" w:styleId="863">
    <w:name w:val="1.正文"/>
    <w:qFormat/>
    <w:uiPriority w:val="0"/>
    <w:pPr>
      <w:widowControl w:val="0"/>
      <w:adjustRightInd w:val="0"/>
      <w:spacing w:line="360" w:lineRule="auto"/>
      <w:ind w:firstLine="397"/>
      <w:jc w:val="both"/>
      <w:textAlignment w:val="baseline"/>
    </w:pPr>
    <w:rPr>
      <w:rFonts w:ascii="Times New Roman" w:hAnsi="Times New Roman" w:eastAsia="宋体" w:cs="Times New Roman"/>
      <w:spacing w:val="20"/>
      <w:sz w:val="24"/>
      <w:lang w:val="en-US" w:eastAsia="zh-CN" w:bidi="ar-SA"/>
    </w:rPr>
  </w:style>
  <w:style w:type="paragraph" w:customStyle="1" w:styleId="864">
    <w:name w:val="Õý"/>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865">
    <w:name w:val="xl22"/>
    <w:basedOn w:val="1"/>
    <w:qFormat/>
    <w:uiPriority w:val="0"/>
    <w:pPr>
      <w:widowControl/>
      <w:spacing w:before="100" w:beforeLines="50" w:beforeAutospacing="1" w:after="100" w:afterLines="50" w:afterAutospacing="1" w:line="360" w:lineRule="auto"/>
      <w:ind w:firstLine="480" w:firstLineChars="200"/>
      <w:jc w:val="center"/>
    </w:pPr>
    <w:rPr>
      <w:bCs/>
      <w:kern w:val="0"/>
      <w:szCs w:val="21"/>
    </w:rPr>
  </w:style>
  <w:style w:type="character" w:customStyle="1" w:styleId="866">
    <w:name w:val="nei_font1"/>
    <w:qFormat/>
    <w:uiPriority w:val="0"/>
    <w:rPr>
      <w:spacing w:val="30"/>
      <w:sz w:val="18"/>
      <w:szCs w:val="18"/>
    </w:rPr>
  </w:style>
  <w:style w:type="table" w:customStyle="1" w:styleId="867">
    <w:name w:val="专业型1"/>
    <w:basedOn w:val="75"/>
    <w:qFormat/>
    <w:uiPriority w:val="0"/>
    <w:pPr>
      <w:widowControl w:val="0"/>
      <w:numPr>
        <w:ilvl w:val="1"/>
        <w:numId w:val="24"/>
      </w:numPr>
      <w:tabs>
        <w:tab w:val="left" w:pos="780"/>
        <w:tab w:val="left" w:pos="1400"/>
        <w:tab w:val="left" w:pos="1440"/>
        <w:tab w:val="clear" w:pos="840"/>
      </w:tabs>
      <w:ind w:left="576" w:leftChars="200" w:hanging="576" w:hangingChars="20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paragraph" w:customStyle="1" w:styleId="868">
    <w:name w:val="样式 标题 1H1h11Heading 0PIM 1Heading 11level 1Level 1 Head..."/>
    <w:basedOn w:val="3"/>
    <w:qFormat/>
    <w:uiPriority w:val="0"/>
    <w:pPr>
      <w:pageBreakBefore/>
      <w:numPr>
        <w:ilvl w:val="2"/>
        <w:numId w:val="32"/>
      </w:numPr>
      <w:tabs>
        <w:tab w:val="left" w:pos="1260"/>
      </w:tabs>
      <w:spacing w:before="50" w:beforeLines="50" w:after="50" w:afterLines="50" w:line="360" w:lineRule="auto"/>
      <w:ind w:left="170" w:hanging="170"/>
      <w:jc w:val="left"/>
    </w:pPr>
    <w:rPr>
      <w:rFonts w:ascii="Times New Roman" w:hAnsi="Times New Roman" w:eastAsia="黑体" w:cs="宋体"/>
      <w:color w:val="auto"/>
      <w:kern w:val="2"/>
      <w:sz w:val="28"/>
      <w:szCs w:val="28"/>
    </w:rPr>
  </w:style>
  <w:style w:type="paragraph" w:customStyle="1" w:styleId="869">
    <w:name w:val="样式 标题 2- Parah2Heading 2 HiddenHeading 2 CCBSH22nd level2...1"/>
    <w:basedOn w:val="4"/>
    <w:qFormat/>
    <w:uiPriority w:val="0"/>
    <w:pPr>
      <w:numPr>
        <w:ilvl w:val="3"/>
        <w:numId w:val="32"/>
      </w:numPr>
      <w:tabs>
        <w:tab w:val="left" w:pos="1680"/>
      </w:tabs>
      <w:spacing w:before="50" w:beforeLines="50" w:after="50" w:afterLines="50" w:line="360" w:lineRule="auto"/>
      <w:ind w:left="576" w:hanging="576"/>
      <w:jc w:val="left"/>
    </w:pPr>
    <w:rPr>
      <w:rFonts w:ascii="Times New Roman" w:hAnsi="Times New Roman" w:eastAsia="黑体" w:cs="宋体"/>
      <w:bCs w:val="0"/>
      <w:sz w:val="28"/>
      <w:szCs w:val="28"/>
    </w:rPr>
  </w:style>
  <w:style w:type="paragraph" w:customStyle="1" w:styleId="870">
    <w:name w:val="样式 标题 3h3Level 3 HeadH3level_3PIM 3Bold HeadbhHeading 3..."/>
    <w:basedOn w:val="5"/>
    <w:qFormat/>
    <w:uiPriority w:val="0"/>
    <w:pPr>
      <w:numPr>
        <w:numId w:val="33"/>
      </w:numPr>
      <w:tabs>
        <w:tab w:val="left" w:pos="1260"/>
      </w:tabs>
      <w:spacing w:before="50" w:beforeLines="50" w:after="50" w:afterLines="50" w:line="360" w:lineRule="auto"/>
      <w:ind w:left="720" w:hanging="720"/>
      <w:jc w:val="left"/>
    </w:pPr>
    <w:rPr>
      <w:rFonts w:ascii="Times New Roman" w:hAnsi="Times New Roman" w:eastAsia="黑体" w:cs="宋体"/>
      <w:bCs w:val="0"/>
      <w:sz w:val="24"/>
      <w:szCs w:val="20"/>
    </w:rPr>
  </w:style>
  <w:style w:type="paragraph" w:customStyle="1" w:styleId="871">
    <w:name w:val="样式 标题 4h4H4PIM 4Fab-4T5Ref Heading 1rh1Heading sqlsect ..."/>
    <w:basedOn w:val="6"/>
    <w:qFormat/>
    <w:uiPriority w:val="0"/>
    <w:pPr>
      <w:numPr>
        <w:ilvl w:val="0"/>
        <w:numId w:val="34"/>
      </w:numPr>
      <w:tabs>
        <w:tab w:val="clear" w:pos="840"/>
      </w:tabs>
      <w:spacing w:before="50" w:beforeLines="50" w:after="50" w:afterLines="50" w:line="360" w:lineRule="auto"/>
      <w:ind w:left="864" w:hanging="864"/>
      <w:jc w:val="left"/>
    </w:pPr>
    <w:rPr>
      <w:rFonts w:ascii="Times New Roman" w:hAnsi="Times New Roman" w:eastAsia="黑体" w:cs="宋体"/>
      <w:bCs w:val="0"/>
      <w:color w:val="auto"/>
      <w:szCs w:val="20"/>
    </w:rPr>
  </w:style>
  <w:style w:type="paragraph" w:customStyle="1" w:styleId="872">
    <w:name w:val="项目"/>
    <w:basedOn w:val="1"/>
    <w:qFormat/>
    <w:uiPriority w:val="0"/>
    <w:pPr>
      <w:numPr>
        <w:ilvl w:val="0"/>
        <w:numId w:val="35"/>
      </w:numPr>
      <w:tabs>
        <w:tab w:val="left" w:pos="0"/>
        <w:tab w:val="left" w:pos="420"/>
        <w:tab w:val="left" w:pos="840"/>
        <w:tab w:val="clear" w:pos="900"/>
      </w:tabs>
      <w:adjustRightInd w:val="0"/>
      <w:spacing w:before="120" w:beforeLines="50" w:after="120" w:afterLines="50" w:line="300" w:lineRule="auto"/>
      <w:ind w:left="0" w:firstLine="480" w:firstLineChars="200"/>
      <w:textAlignment w:val="baseline"/>
    </w:pPr>
    <w:rPr>
      <w:rFonts w:hAnsi="宋体"/>
      <w:bCs/>
      <w:kern w:val="0"/>
      <w:szCs w:val="20"/>
    </w:rPr>
  </w:style>
  <w:style w:type="paragraph" w:customStyle="1" w:styleId="873">
    <w:name w:val="项目下文字"/>
    <w:basedOn w:val="872"/>
    <w:qFormat/>
    <w:uiPriority w:val="0"/>
    <w:pPr>
      <w:numPr>
        <w:numId w:val="0"/>
      </w:numPr>
      <w:ind w:firstLine="480" w:firstLineChars="200"/>
    </w:pPr>
  </w:style>
  <w:style w:type="paragraph" w:customStyle="1" w:styleId="874">
    <w:name w:val="普通正文"/>
    <w:basedOn w:val="1"/>
    <w:qFormat/>
    <w:uiPriority w:val="0"/>
    <w:pPr>
      <w:adjustRightInd w:val="0"/>
      <w:spacing w:before="120" w:beforeLines="50" w:after="120" w:afterLines="50" w:line="360" w:lineRule="auto"/>
      <w:ind w:firstLine="454" w:firstLineChars="200"/>
      <w:jc w:val="left"/>
      <w:textAlignment w:val="baseline"/>
    </w:pPr>
    <w:rPr>
      <w:bCs/>
      <w:kern w:val="0"/>
      <w:szCs w:val="20"/>
    </w:rPr>
  </w:style>
  <w:style w:type="paragraph" w:customStyle="1" w:styleId="875">
    <w:name w:val="表中文字"/>
    <w:basedOn w:val="1"/>
    <w:qFormat/>
    <w:uiPriority w:val="0"/>
    <w:pPr>
      <w:widowControl/>
      <w:spacing w:before="120" w:beforeLines="50" w:after="120" w:afterLines="50" w:line="360" w:lineRule="auto"/>
      <w:ind w:firstLine="425" w:firstLineChars="200"/>
    </w:pPr>
    <w:rPr>
      <w:rFonts w:eastAsia="仿宋_GB2312"/>
      <w:bCs/>
      <w:szCs w:val="20"/>
    </w:rPr>
  </w:style>
  <w:style w:type="paragraph" w:customStyle="1" w:styleId="876">
    <w:name w:val="样式 标题 1 + 段前: 4 行 段后: 0.5 行"/>
    <w:basedOn w:val="3"/>
    <w:qFormat/>
    <w:uiPriority w:val="0"/>
    <w:pPr>
      <w:keepNext w:val="0"/>
      <w:keepLines w:val="0"/>
      <w:pageBreakBefore/>
      <w:numPr>
        <w:numId w:val="0"/>
      </w:numPr>
      <w:snapToGrid w:val="0"/>
      <w:spacing w:before="50" w:beforeLines="50" w:after="50" w:afterLines="50" w:line="360" w:lineRule="auto"/>
      <w:jc w:val="left"/>
    </w:pPr>
    <w:rPr>
      <w:rFonts w:ascii="宋体" w:hAnsi="Times New Roman" w:eastAsia="黑体" w:cs="宋体"/>
      <w:bCs/>
      <w:color w:val="auto"/>
      <w:kern w:val="2"/>
      <w:sz w:val="28"/>
      <w:szCs w:val="20"/>
    </w:rPr>
  </w:style>
  <w:style w:type="paragraph" w:customStyle="1" w:styleId="877">
    <w:name w:val="样式 标题 2 + 段前: 0.5 行 段后: 0.5 行"/>
    <w:basedOn w:val="4"/>
    <w:qFormat/>
    <w:uiPriority w:val="0"/>
    <w:pPr>
      <w:numPr>
        <w:ilvl w:val="0"/>
        <w:numId w:val="0"/>
      </w:numPr>
      <w:snapToGrid w:val="0"/>
      <w:spacing w:before="156" w:beforeLines="50" w:after="156" w:afterLines="50" w:line="360" w:lineRule="auto"/>
      <w:jc w:val="left"/>
    </w:pPr>
    <w:rPr>
      <w:rFonts w:eastAsia="黑体" w:cs="宋体"/>
      <w:bCs w:val="0"/>
      <w:sz w:val="28"/>
      <w:szCs w:val="20"/>
    </w:rPr>
  </w:style>
  <w:style w:type="paragraph" w:customStyle="1" w:styleId="878">
    <w:name w:val="样式 标题 3 + 段前: 0.5 行 段后: 0.5 行"/>
    <w:basedOn w:val="5"/>
    <w:qFormat/>
    <w:uiPriority w:val="0"/>
    <w:pPr>
      <w:numPr>
        <w:ilvl w:val="0"/>
        <w:numId w:val="0"/>
      </w:numPr>
      <w:snapToGrid w:val="0"/>
      <w:spacing w:before="50" w:beforeLines="50" w:after="50" w:afterLines="50" w:line="360" w:lineRule="auto"/>
      <w:jc w:val="left"/>
    </w:pPr>
    <w:rPr>
      <w:rFonts w:ascii="宋体" w:hAnsi="Times New Roman" w:eastAsia="黑体" w:cs="宋体"/>
      <w:bCs w:val="0"/>
      <w:sz w:val="24"/>
      <w:szCs w:val="24"/>
    </w:rPr>
  </w:style>
  <w:style w:type="paragraph" w:customStyle="1" w:styleId="879">
    <w:name w:val="样式 样式 标题 4H4Fab-4T5PIM 4h4Ref Heading 1rh1Heading sqlsect ... + ..."/>
    <w:basedOn w:val="1"/>
    <w:qFormat/>
    <w:uiPriority w:val="0"/>
    <w:pPr>
      <w:keepNext/>
      <w:keepLines/>
      <w:snapToGrid w:val="0"/>
      <w:spacing w:before="156" w:beforeLines="50" w:after="156" w:afterLines="50" w:line="360" w:lineRule="auto"/>
      <w:ind w:left="720" w:firstLine="480" w:firstLineChars="200"/>
      <w:jc w:val="left"/>
      <w:outlineLvl w:val="3"/>
    </w:pPr>
    <w:rPr>
      <w:rFonts w:eastAsia="黑体" w:cs="宋体"/>
      <w:b/>
      <w:szCs w:val="20"/>
    </w:rPr>
  </w:style>
  <w:style w:type="paragraph" w:customStyle="1" w:styleId="880">
    <w:name w:val="Table Text Char Char Char Char"/>
    <w:link w:val="881"/>
    <w:qFormat/>
    <w:uiPriority w:val="0"/>
    <w:pPr>
      <w:snapToGrid w:val="0"/>
      <w:spacing w:before="80" w:after="80"/>
    </w:pPr>
    <w:rPr>
      <w:rFonts w:ascii="Arial" w:hAnsi="Arial" w:eastAsia="宋体" w:cs="Times New Roman"/>
      <w:kern w:val="2"/>
      <w:sz w:val="18"/>
      <w:szCs w:val="24"/>
      <w:lang w:val="en-US" w:eastAsia="zh-CN" w:bidi="ar-SA"/>
    </w:rPr>
  </w:style>
  <w:style w:type="character" w:customStyle="1" w:styleId="881">
    <w:name w:val="Table Text Char Char Char Char Char"/>
    <w:link w:val="880"/>
    <w:qFormat/>
    <w:uiPriority w:val="0"/>
    <w:rPr>
      <w:rFonts w:ascii="Arial" w:hAnsi="Arial"/>
      <w:kern w:val="2"/>
      <w:sz w:val="18"/>
      <w:szCs w:val="24"/>
    </w:rPr>
  </w:style>
  <w:style w:type="paragraph" w:customStyle="1" w:styleId="882">
    <w:name w:val="日期1"/>
    <w:basedOn w:val="1"/>
    <w:next w:val="1"/>
    <w:qFormat/>
    <w:uiPriority w:val="0"/>
    <w:pPr>
      <w:adjustRightInd w:val="0"/>
      <w:spacing w:before="120" w:beforeLines="50" w:after="120" w:afterLines="50" w:line="312" w:lineRule="atLeast"/>
      <w:ind w:firstLine="480" w:firstLineChars="200"/>
    </w:pPr>
    <w:rPr>
      <w:bCs/>
      <w:kern w:val="0"/>
      <w:szCs w:val="20"/>
    </w:rPr>
  </w:style>
  <w:style w:type="paragraph" w:customStyle="1" w:styleId="883">
    <w:name w:val="??"/>
    <w:qFormat/>
    <w:uiPriority w:val="0"/>
    <w:pPr>
      <w:widowControl w:val="0"/>
      <w:autoSpaceDE w:val="0"/>
      <w:autoSpaceDN w:val="0"/>
      <w:adjustRightInd w:val="0"/>
      <w:spacing w:line="312" w:lineRule="atLeast"/>
      <w:jc w:val="both"/>
    </w:pPr>
    <w:rPr>
      <w:rFonts w:ascii="Times New Roman" w:hAnsi="Times New Roman" w:eastAsia="??" w:cs="Times New Roman"/>
      <w:sz w:val="21"/>
      <w:lang w:val="en-US" w:eastAsia="zh-CN" w:bidi="ar-SA"/>
    </w:rPr>
  </w:style>
  <w:style w:type="paragraph" w:customStyle="1" w:styleId="884">
    <w:name w:val="图文字"/>
    <w:basedOn w:val="20"/>
    <w:qFormat/>
    <w:uiPriority w:val="0"/>
    <w:pPr>
      <w:widowControl w:val="0"/>
      <w:spacing w:before="60" w:beforeLines="50" w:after="60" w:afterLines="0" w:line="240" w:lineRule="auto"/>
      <w:ind w:firstLine="0"/>
      <w:jc w:val="center"/>
    </w:pPr>
    <w:rPr>
      <w:bCs/>
    </w:rPr>
  </w:style>
  <w:style w:type="character" w:customStyle="1" w:styleId="885">
    <w:name w:val="titleblack14px1"/>
    <w:qFormat/>
    <w:uiPriority w:val="0"/>
    <w:rPr>
      <w:b/>
      <w:bCs/>
      <w:color w:val="000000"/>
      <w:sz w:val="23"/>
      <w:szCs w:val="23"/>
    </w:rPr>
  </w:style>
  <w:style w:type="paragraph" w:customStyle="1" w:styleId="886">
    <w:name w:val="正文文本缩进 21"/>
    <w:basedOn w:val="1"/>
    <w:qFormat/>
    <w:uiPriority w:val="0"/>
    <w:pPr>
      <w:adjustRightInd w:val="0"/>
      <w:spacing w:before="120" w:beforeLines="50" w:after="120" w:afterLines="50" w:line="360" w:lineRule="auto"/>
      <w:ind w:firstLine="420" w:firstLineChars="200"/>
      <w:textAlignment w:val="baseline"/>
    </w:pPr>
    <w:rPr>
      <w:bCs/>
      <w:szCs w:val="20"/>
    </w:rPr>
  </w:style>
  <w:style w:type="character" w:customStyle="1" w:styleId="887">
    <w:name w:val="titleblack14px"/>
    <w:qFormat/>
    <w:uiPriority w:val="0"/>
  </w:style>
  <w:style w:type="character" w:customStyle="1" w:styleId="888">
    <w:name w:val="smalltxt1"/>
    <w:qFormat/>
    <w:uiPriority w:val="0"/>
    <w:rPr>
      <w:rFonts w:hint="default" w:ascii="Arial" w:hAnsi="Arial" w:cs="Arial"/>
      <w:sz w:val="17"/>
      <w:szCs w:val="17"/>
    </w:rPr>
  </w:style>
  <w:style w:type="character" w:customStyle="1" w:styleId="889">
    <w:name w:val="content1"/>
    <w:qFormat/>
    <w:uiPriority w:val="0"/>
    <w:rPr>
      <w:sz w:val="22"/>
      <w:szCs w:val="22"/>
    </w:rPr>
  </w:style>
  <w:style w:type="character" w:customStyle="1" w:styleId="890">
    <w:name w:val="p6copy1"/>
    <w:qFormat/>
    <w:uiPriority w:val="0"/>
  </w:style>
  <w:style w:type="character" w:customStyle="1" w:styleId="891">
    <w:name w:val="font_e1"/>
    <w:qFormat/>
    <w:uiPriority w:val="0"/>
    <w:rPr>
      <w:rFonts w:hint="default" w:ascii="Arial" w:hAnsi="Arial" w:cs="Arial"/>
      <w:sz w:val="18"/>
      <w:szCs w:val="18"/>
      <w:u w:val="none"/>
    </w:rPr>
  </w:style>
  <w:style w:type="character" w:customStyle="1" w:styleId="892">
    <w:name w:val="style111"/>
    <w:qFormat/>
    <w:uiPriority w:val="0"/>
    <w:rPr>
      <w:b/>
      <w:bCs/>
      <w:color w:val="000066"/>
      <w:sz w:val="21"/>
      <w:szCs w:val="21"/>
    </w:rPr>
  </w:style>
  <w:style w:type="character" w:customStyle="1" w:styleId="893">
    <w:name w:val="style101"/>
    <w:qFormat/>
    <w:uiPriority w:val="0"/>
    <w:rPr>
      <w:color w:val="CCCCCC"/>
    </w:rPr>
  </w:style>
  <w:style w:type="character" w:customStyle="1" w:styleId="894">
    <w:name w:val="style141"/>
    <w:qFormat/>
    <w:uiPriority w:val="0"/>
    <w:rPr>
      <w:b/>
      <w:bCs/>
      <w:color w:val="000099"/>
      <w:sz w:val="21"/>
      <w:szCs w:val="21"/>
    </w:rPr>
  </w:style>
  <w:style w:type="paragraph" w:customStyle="1" w:styleId="895">
    <w:name w:val="0号正文"/>
    <w:basedOn w:val="1"/>
    <w:link w:val="896"/>
    <w:qFormat/>
    <w:uiPriority w:val="0"/>
    <w:pPr>
      <w:spacing w:before="156" w:beforeLines="50" w:after="156" w:afterLines="50" w:line="300" w:lineRule="auto"/>
      <w:ind w:firstLine="480" w:firstLineChars="200"/>
    </w:pPr>
    <w:rPr>
      <w:rFonts w:ascii="Arial" w:hAnsi="Arial" w:cs="宋体"/>
      <w:bCs/>
    </w:rPr>
  </w:style>
  <w:style w:type="character" w:customStyle="1" w:styleId="896">
    <w:name w:val="0号正文 Char"/>
    <w:link w:val="895"/>
    <w:qFormat/>
    <w:uiPriority w:val="0"/>
    <w:rPr>
      <w:rFonts w:ascii="Arial" w:hAnsi="Arial" w:cs="宋体"/>
      <w:bCs/>
      <w:kern w:val="2"/>
      <w:sz w:val="24"/>
      <w:szCs w:val="24"/>
    </w:rPr>
  </w:style>
  <w:style w:type="paragraph" w:customStyle="1" w:styleId="897">
    <w:name w:val="content"/>
    <w:basedOn w:val="1"/>
    <w:qFormat/>
    <w:uiPriority w:val="0"/>
    <w:pPr>
      <w:widowControl/>
      <w:spacing w:before="100" w:beforeLines="50" w:beforeAutospacing="1" w:after="100" w:afterLines="50" w:afterAutospacing="1" w:line="360" w:lineRule="auto"/>
      <w:ind w:firstLine="480" w:firstLineChars="200"/>
      <w:jc w:val="left"/>
    </w:pPr>
    <w:rPr>
      <w:rFonts w:hAnsi="宋体" w:cs="宋体"/>
      <w:bCs/>
      <w:color w:val="000000"/>
      <w:kern w:val="0"/>
    </w:rPr>
  </w:style>
  <w:style w:type="paragraph" w:customStyle="1" w:styleId="898">
    <w:name w:val="样式 标题 1 + 段前: 0.5 行 段后: 0.5 行"/>
    <w:basedOn w:val="3"/>
    <w:qFormat/>
    <w:uiPriority w:val="0"/>
    <w:pPr>
      <w:pageBreakBefore/>
      <w:spacing w:before="218" w:beforeLines="50" w:after="218" w:afterLines="50" w:line="360" w:lineRule="auto"/>
      <w:jc w:val="left"/>
    </w:pPr>
    <w:rPr>
      <w:rFonts w:cs="宋体"/>
      <w:color w:val="auto"/>
      <w:sz w:val="32"/>
      <w:szCs w:val="20"/>
    </w:rPr>
  </w:style>
  <w:style w:type="character" w:customStyle="1" w:styleId="899">
    <w:name w:val="txt"/>
    <w:qFormat/>
    <w:uiPriority w:val="0"/>
  </w:style>
  <w:style w:type="paragraph" w:customStyle="1" w:styleId="900">
    <w:name w:val="3级标题"/>
    <w:basedOn w:val="5"/>
    <w:qFormat/>
    <w:uiPriority w:val="0"/>
    <w:pPr>
      <w:tabs>
        <w:tab w:val="left" w:pos="1260"/>
      </w:tabs>
      <w:spacing w:before="120" w:beforeLines="50" w:afterLines="50" w:line="415" w:lineRule="auto"/>
      <w:ind w:left="1260" w:hanging="1260"/>
    </w:pPr>
    <w:rPr>
      <w:rFonts w:ascii="宋体" w:hAnsi="宋体" w:cs="宋体"/>
      <w:bCs w:val="0"/>
      <w:sz w:val="36"/>
      <w:szCs w:val="36"/>
    </w:rPr>
  </w:style>
  <w:style w:type="paragraph" w:customStyle="1" w:styleId="901">
    <w:name w:val="00"/>
    <w:basedOn w:val="1"/>
    <w:link w:val="902"/>
    <w:qFormat/>
    <w:uiPriority w:val="0"/>
    <w:pPr>
      <w:spacing w:before="120" w:beforeLines="50" w:after="120" w:afterLines="50" w:line="360" w:lineRule="auto"/>
      <w:ind w:firstLine="480" w:firstLineChars="200"/>
    </w:pPr>
    <w:rPr>
      <w:rFonts w:hAnsi="宋体" w:cs="宋体"/>
      <w:bCs/>
      <w:szCs w:val="20"/>
    </w:rPr>
  </w:style>
  <w:style w:type="character" w:customStyle="1" w:styleId="902">
    <w:name w:val="00 Char"/>
    <w:link w:val="901"/>
    <w:qFormat/>
    <w:uiPriority w:val="0"/>
    <w:rPr>
      <w:rFonts w:ascii="宋体" w:hAnsi="宋体" w:cs="宋体"/>
      <w:bCs/>
      <w:kern w:val="2"/>
      <w:sz w:val="24"/>
    </w:rPr>
  </w:style>
  <w:style w:type="paragraph" w:customStyle="1" w:styleId="903">
    <w:name w:val="样式 paragraph1 + 段后: 0.5 行"/>
    <w:basedOn w:val="141"/>
    <w:qFormat/>
    <w:uiPriority w:val="0"/>
    <w:pPr>
      <w:spacing w:before="120" w:beforeLines="50" w:after="50" w:afterLines="50"/>
      <w:ind w:firstLine="200"/>
    </w:pPr>
    <w:rPr>
      <w:rFonts w:ascii="Times New Roman" w:hAnsi="Times New Roman" w:cs="宋体"/>
      <w:bCs/>
      <w:color w:val="000000"/>
      <w:spacing w:val="20"/>
      <w:kern w:val="0"/>
    </w:rPr>
  </w:style>
  <w:style w:type="paragraph" w:customStyle="1" w:styleId="904">
    <w:name w:val="2级标题"/>
    <w:basedOn w:val="4"/>
    <w:qFormat/>
    <w:uiPriority w:val="0"/>
    <w:pPr>
      <w:tabs>
        <w:tab w:val="left" w:pos="860"/>
      </w:tabs>
      <w:spacing w:before="120" w:beforeLines="50" w:afterLines="50" w:line="360" w:lineRule="auto"/>
      <w:ind w:left="860" w:hanging="860"/>
    </w:pPr>
    <w:rPr>
      <w:rFonts w:ascii="宋体" w:hAnsi="宋体" w:cs="宋体"/>
      <w:bCs w:val="0"/>
      <w:sz w:val="36"/>
      <w:szCs w:val="36"/>
    </w:rPr>
  </w:style>
  <w:style w:type="paragraph" w:customStyle="1" w:styleId="905">
    <w:name w:val="正文（缩进）"/>
    <w:basedOn w:val="1"/>
    <w:link w:val="1691"/>
    <w:qFormat/>
    <w:uiPriority w:val="0"/>
    <w:pPr>
      <w:numPr>
        <w:ilvl w:val="0"/>
        <w:numId w:val="36"/>
      </w:numPr>
      <w:tabs>
        <w:tab w:val="clear" w:pos="482"/>
      </w:tabs>
      <w:spacing w:before="360" w:beforeLines="150" w:after="360" w:afterLines="150" w:line="360" w:lineRule="auto"/>
      <w:ind w:left="0" w:firstLine="420" w:firstLineChars="200"/>
    </w:pPr>
    <w:rPr>
      <w:rFonts w:ascii="Arial" w:hAnsi="Arial"/>
      <w:kern w:val="0"/>
      <w:szCs w:val="18"/>
    </w:rPr>
  </w:style>
  <w:style w:type="paragraph" w:customStyle="1" w:styleId="906">
    <w:name w:val="ymtext"/>
    <w:basedOn w:val="1"/>
    <w:qFormat/>
    <w:uiPriority w:val="0"/>
    <w:pPr>
      <w:widowControl/>
      <w:numPr>
        <w:ilvl w:val="3"/>
        <w:numId w:val="37"/>
      </w:numPr>
      <w:tabs>
        <w:tab w:val="left" w:pos="1680"/>
        <w:tab w:val="clear" w:pos="2240"/>
      </w:tabs>
      <w:spacing w:before="120" w:beforeLines="50" w:after="120" w:afterLines="50" w:line="400" w:lineRule="atLeast"/>
      <w:ind w:left="1680" w:firstLine="200" w:firstLineChars="200"/>
      <w:jc w:val="left"/>
    </w:pPr>
    <w:rPr>
      <w:bCs/>
      <w:kern w:val="0"/>
      <w:sz w:val="22"/>
      <w:szCs w:val="20"/>
    </w:rPr>
  </w:style>
  <w:style w:type="paragraph" w:customStyle="1" w:styleId="907">
    <w:name w:val="a2"/>
    <w:basedOn w:val="1"/>
    <w:qFormat/>
    <w:uiPriority w:val="0"/>
    <w:pPr>
      <w:widowControl/>
      <w:spacing w:before="120" w:beforeLines="50" w:after="120" w:afterLines="50" w:line="300" w:lineRule="atLeast"/>
      <w:ind w:firstLine="480" w:firstLineChars="200"/>
      <w:jc w:val="left"/>
    </w:pPr>
    <w:rPr>
      <w:rFonts w:hAnsi="宋体" w:cs="宋体"/>
      <w:bCs/>
      <w:kern w:val="0"/>
      <w:sz w:val="18"/>
      <w:szCs w:val="18"/>
    </w:rPr>
  </w:style>
  <w:style w:type="paragraph" w:customStyle="1" w:styleId="908">
    <w:name w:val="Char Char Char Char Char Char Char Char Char Char Char Char"/>
    <w:basedOn w:val="1"/>
    <w:qFormat/>
    <w:uiPriority w:val="0"/>
    <w:pPr>
      <w:widowControl/>
      <w:spacing w:before="120" w:beforeLines="50" w:after="160" w:afterLines="50" w:line="240" w:lineRule="exact"/>
      <w:ind w:firstLine="480" w:firstLineChars="200"/>
      <w:jc w:val="center"/>
    </w:pPr>
    <w:rPr>
      <w:rFonts w:ascii="Verdana" w:hAnsi="Verdana"/>
      <w:bCs/>
      <w:kern w:val="0"/>
      <w:sz w:val="20"/>
      <w:lang w:eastAsia="en-US"/>
    </w:rPr>
  </w:style>
  <w:style w:type="paragraph" w:customStyle="1" w:styleId="909">
    <w:name w:val="标准正文"/>
    <w:basedOn w:val="32"/>
    <w:link w:val="910"/>
    <w:qFormat/>
    <w:uiPriority w:val="0"/>
    <w:pPr>
      <w:spacing w:before="60" w:beforeLines="50" w:after="60" w:afterLines="50" w:line="360" w:lineRule="auto"/>
      <w:ind w:left="0" w:leftChars="0" w:firstLine="482" w:firstLineChars="200"/>
    </w:pPr>
    <w:rPr>
      <w:bCs/>
      <w:szCs w:val="20"/>
    </w:rPr>
  </w:style>
  <w:style w:type="character" w:customStyle="1" w:styleId="910">
    <w:name w:val="标准正文 Char"/>
    <w:link w:val="909"/>
    <w:qFormat/>
    <w:uiPriority w:val="0"/>
    <w:rPr>
      <w:bCs/>
      <w:kern w:val="2"/>
      <w:sz w:val="24"/>
    </w:rPr>
  </w:style>
  <w:style w:type="paragraph" w:customStyle="1" w:styleId="911">
    <w:name w:val="my正文"/>
    <w:basedOn w:val="1"/>
    <w:qFormat/>
    <w:uiPriority w:val="0"/>
    <w:pPr>
      <w:tabs>
        <w:tab w:val="left" w:pos="0"/>
      </w:tabs>
      <w:spacing w:before="156" w:beforeLines="50" w:after="156" w:afterLines="50" w:line="360" w:lineRule="auto"/>
      <w:ind w:firstLine="480" w:firstLineChars="200"/>
    </w:pPr>
    <w:rPr>
      <w:bCs/>
    </w:rPr>
  </w:style>
  <w:style w:type="paragraph" w:customStyle="1" w:styleId="912">
    <w:name w:val="样式 样式 样式 样式 样式 正文首行缩进 2 + 左  0 字符 首行缩进:  1.71 字符 + 首行缩进:  2 字符 +...1"/>
    <w:basedOn w:val="1"/>
    <w:qFormat/>
    <w:uiPriority w:val="0"/>
    <w:pPr>
      <w:spacing w:before="60" w:beforeLines="50" w:after="60" w:afterLines="50" w:line="360" w:lineRule="auto"/>
      <w:ind w:firstLine="480" w:firstLineChars="200"/>
    </w:pPr>
    <w:rPr>
      <w:rFonts w:cs="宋体"/>
      <w:bCs/>
      <w:szCs w:val="20"/>
    </w:rPr>
  </w:style>
  <w:style w:type="paragraph" w:customStyle="1" w:styleId="913">
    <w:name w:val="我的正文"/>
    <w:basedOn w:val="1"/>
    <w:qFormat/>
    <w:uiPriority w:val="0"/>
    <w:pPr>
      <w:spacing w:before="120" w:beforeLines="50" w:after="120" w:afterLines="50" w:line="400" w:lineRule="exact"/>
      <w:ind w:firstLine="480" w:firstLineChars="200"/>
    </w:pPr>
    <w:rPr>
      <w:rFonts w:ascii="Tahoma" w:hAnsi="Tahoma"/>
      <w:bCs/>
      <w:szCs w:val="20"/>
    </w:rPr>
  </w:style>
  <w:style w:type="character" w:customStyle="1" w:styleId="914">
    <w:name w:val="Char Char5"/>
    <w:qFormat/>
    <w:uiPriority w:val="0"/>
    <w:rPr>
      <w:rFonts w:ascii="Garamond" w:hAnsi="Garamond" w:eastAsia="宋体" w:cs="Times New Roman"/>
      <w:color w:val="000000"/>
      <w:kern w:val="0"/>
      <w:sz w:val="24"/>
      <w:szCs w:val="20"/>
    </w:rPr>
  </w:style>
  <w:style w:type="paragraph" w:customStyle="1" w:styleId="915">
    <w:name w:val="Char Char Char Char Char Char Char Char Char Char Char Char Char"/>
    <w:basedOn w:val="1"/>
    <w:qFormat/>
    <w:uiPriority w:val="0"/>
    <w:pPr>
      <w:spacing w:before="120" w:beforeLines="50" w:after="120" w:afterLines="50" w:line="360" w:lineRule="auto"/>
      <w:ind w:firstLine="480" w:firstLineChars="200"/>
    </w:pPr>
    <w:rPr>
      <w:rFonts w:ascii="Tahoma" w:hAnsi="Tahoma"/>
      <w:bCs/>
      <w:szCs w:val="20"/>
    </w:rPr>
  </w:style>
  <w:style w:type="paragraph" w:customStyle="1" w:styleId="916">
    <w:name w:val="样式3"/>
    <w:basedOn w:val="40"/>
    <w:qFormat/>
    <w:uiPriority w:val="0"/>
    <w:pPr>
      <w:spacing w:before="120" w:beforeLines="50" w:after="120" w:afterLines="50" w:line="0" w:lineRule="atLeast"/>
      <w:ind w:firstLine="480" w:firstLineChars="200"/>
      <w:outlineLvl w:val="0"/>
    </w:pPr>
    <w:rPr>
      <w:bCs/>
      <w:sz w:val="28"/>
    </w:rPr>
  </w:style>
  <w:style w:type="paragraph" w:customStyle="1" w:styleId="917">
    <w:name w:val="标3"/>
    <w:basedOn w:val="1"/>
    <w:qFormat/>
    <w:uiPriority w:val="0"/>
    <w:pPr>
      <w:numPr>
        <w:ilvl w:val="2"/>
        <w:numId w:val="28"/>
      </w:numPr>
      <w:tabs>
        <w:tab w:val="left" w:pos="785"/>
        <w:tab w:val="clear" w:pos="1260"/>
      </w:tabs>
      <w:adjustRightInd w:val="0"/>
      <w:snapToGrid w:val="0"/>
      <w:spacing w:before="120" w:beforeLines="50" w:after="120" w:afterLines="50" w:line="360" w:lineRule="auto"/>
      <w:ind w:left="720" w:firstLine="200" w:firstLineChars="200"/>
      <w:outlineLvl w:val="2"/>
    </w:pPr>
    <w:rPr>
      <w:rFonts w:ascii="Arial Narrow" w:hAnsi="Arial Narrow" w:eastAsia="仿宋_GB2312"/>
      <w:bCs/>
      <w:sz w:val="28"/>
      <w:szCs w:val="20"/>
    </w:rPr>
  </w:style>
  <w:style w:type="paragraph" w:customStyle="1" w:styleId="918">
    <w:name w:val="正文0"/>
    <w:basedOn w:val="1"/>
    <w:qFormat/>
    <w:uiPriority w:val="0"/>
    <w:pPr>
      <w:autoSpaceDE w:val="0"/>
      <w:autoSpaceDN w:val="0"/>
      <w:adjustRightInd w:val="0"/>
      <w:spacing w:before="240" w:beforeLines="50" w:after="60" w:afterLines="50" w:line="360" w:lineRule="atLeast"/>
      <w:ind w:firstLine="480" w:firstLineChars="200"/>
    </w:pPr>
    <w:rPr>
      <w:b/>
      <w:bCs/>
      <w:kern w:val="0"/>
      <w:szCs w:val="20"/>
    </w:rPr>
  </w:style>
  <w:style w:type="paragraph" w:customStyle="1" w:styleId="919">
    <w:name w:val="Char Char Char1 Char Char Char Char Char Char Char"/>
    <w:basedOn w:val="1"/>
    <w:qFormat/>
    <w:uiPriority w:val="0"/>
    <w:pPr>
      <w:spacing w:before="120" w:beforeLines="50" w:after="120" w:afterLines="50" w:line="360" w:lineRule="auto"/>
      <w:ind w:firstLine="480" w:firstLineChars="200"/>
    </w:pPr>
    <w:rPr>
      <w:rFonts w:ascii="Tahoma" w:hAnsi="Tahoma"/>
      <w:bCs/>
      <w:szCs w:val="20"/>
    </w:rPr>
  </w:style>
  <w:style w:type="paragraph" w:customStyle="1" w:styleId="920">
    <w:name w:val="正文内容"/>
    <w:basedOn w:val="31"/>
    <w:qFormat/>
    <w:uiPriority w:val="0"/>
    <w:pPr>
      <w:adjustRightInd w:val="0"/>
      <w:snapToGrid w:val="0"/>
      <w:spacing w:before="145" w:beforeLines="50" w:after="145" w:afterLines="50" w:line="400" w:lineRule="exact"/>
      <w:ind w:firstLine="505" w:firstLineChars="200"/>
      <w:textAlignment w:val="baseline"/>
    </w:pPr>
    <w:rPr>
      <w:rFonts w:hAnsi="宋体"/>
      <w:color w:val="000000"/>
      <w:spacing w:val="10"/>
      <w:kern w:val="0"/>
    </w:rPr>
  </w:style>
  <w:style w:type="paragraph" w:customStyle="1" w:styleId="921">
    <w:name w:val="Char Char Char Char Char Char Char"/>
    <w:basedOn w:val="1"/>
    <w:qFormat/>
    <w:uiPriority w:val="0"/>
    <w:pPr>
      <w:widowControl/>
      <w:spacing w:before="120" w:beforeLines="50" w:after="160" w:afterLines="50" w:line="240" w:lineRule="exact"/>
      <w:ind w:firstLine="480" w:firstLineChars="200"/>
      <w:jc w:val="left"/>
    </w:pPr>
    <w:rPr>
      <w:rFonts w:ascii="Verdana" w:hAnsi="Verdana" w:eastAsia="仿宋_GB2312"/>
      <w:bCs/>
      <w:kern w:val="0"/>
      <w:szCs w:val="20"/>
      <w:lang w:eastAsia="en-US"/>
    </w:rPr>
  </w:style>
  <w:style w:type="paragraph" w:customStyle="1" w:styleId="922">
    <w:name w:val="样式 正文缩进正文（首行缩进两字）特点ALT+Z表正文正文非缩进四号段1Normal Indent Char2...4"/>
    <w:basedOn w:val="32"/>
    <w:qFormat/>
    <w:uiPriority w:val="0"/>
    <w:pPr>
      <w:widowControl/>
      <w:tabs>
        <w:tab w:val="left" w:pos="0"/>
        <w:tab w:val="left" w:pos="510"/>
        <w:tab w:val="left" w:pos="993"/>
        <w:tab w:val="left" w:pos="1134"/>
      </w:tabs>
      <w:spacing w:before="120" w:beforeLines="50" w:after="0" w:afterLines="50" w:line="300" w:lineRule="auto"/>
      <w:ind w:left="0" w:leftChars="0" w:firstLine="510" w:firstLineChars="200"/>
    </w:pPr>
    <w:rPr>
      <w:rFonts w:hAnsi="宋体" w:cs="宋体"/>
      <w:bCs/>
      <w:color w:val="000000"/>
      <w:kern w:val="0"/>
      <w:szCs w:val="20"/>
    </w:rPr>
  </w:style>
  <w:style w:type="paragraph" w:customStyle="1" w:styleId="923">
    <w:name w:val="Char1 Char Char Char Char Char Char"/>
    <w:basedOn w:val="1"/>
    <w:qFormat/>
    <w:uiPriority w:val="0"/>
    <w:pPr>
      <w:spacing w:before="120" w:beforeLines="50" w:after="120" w:afterLines="50" w:line="360" w:lineRule="auto"/>
      <w:ind w:firstLine="480" w:firstLineChars="200"/>
    </w:pPr>
    <w:rPr>
      <w:rFonts w:ascii="Tahoma" w:hAnsi="Tahoma"/>
      <w:bCs/>
      <w:szCs w:val="20"/>
    </w:rPr>
  </w:style>
  <w:style w:type="paragraph" w:customStyle="1" w:styleId="924">
    <w:name w:val="默认段落字体 Para Char Char Char Char Char Char Char Char Char1 Char Char Char Char Char Char Char"/>
    <w:basedOn w:val="24"/>
    <w:qFormat/>
    <w:uiPriority w:val="0"/>
    <w:pPr>
      <w:spacing w:before="120" w:beforeLines="50"/>
      <w:ind w:firstLine="480" w:firstLineChars="200"/>
    </w:pPr>
    <w:rPr>
      <w:rFonts w:ascii="Tahoma" w:hAnsi="Tahoma"/>
      <w:bCs/>
      <w:lang w:val="zh-CN"/>
    </w:rPr>
  </w:style>
  <w:style w:type="paragraph" w:customStyle="1" w:styleId="925">
    <w:name w:val="默认段落字体 Para Char Char Char Char"/>
    <w:basedOn w:val="1"/>
    <w:qFormat/>
    <w:uiPriority w:val="0"/>
    <w:pPr>
      <w:spacing w:before="120" w:beforeLines="50" w:after="120" w:afterLines="50" w:line="360" w:lineRule="auto"/>
      <w:ind w:firstLine="480" w:firstLineChars="200"/>
    </w:pPr>
    <w:rPr>
      <w:rFonts w:ascii="Tahoma" w:hAnsi="Tahoma"/>
      <w:bCs/>
      <w:szCs w:val="20"/>
    </w:rPr>
  </w:style>
  <w:style w:type="paragraph" w:customStyle="1" w:styleId="926">
    <w:name w:val="tabletext"/>
    <w:basedOn w:val="1"/>
    <w:qFormat/>
    <w:uiPriority w:val="0"/>
    <w:pPr>
      <w:widowControl/>
      <w:spacing w:before="100" w:beforeLines="50" w:beforeAutospacing="1" w:after="100" w:afterLines="50" w:afterAutospacing="1" w:line="360" w:lineRule="auto"/>
      <w:ind w:firstLine="480" w:firstLineChars="200"/>
      <w:jc w:val="left"/>
    </w:pPr>
    <w:rPr>
      <w:rFonts w:hAnsi="宋体" w:cs="宋体"/>
      <w:bCs/>
      <w:kern w:val="0"/>
    </w:rPr>
  </w:style>
  <w:style w:type="paragraph" w:customStyle="1" w:styleId="927">
    <w:name w:val="FA正文"/>
    <w:basedOn w:val="1"/>
    <w:link w:val="928"/>
    <w:qFormat/>
    <w:uiPriority w:val="0"/>
    <w:pPr>
      <w:spacing w:before="120" w:beforeLines="50" w:after="120" w:afterLines="50" w:line="360" w:lineRule="auto"/>
      <w:ind w:firstLine="480" w:firstLineChars="200"/>
    </w:pPr>
    <w:rPr>
      <w:rFonts w:hAnsi="宋体"/>
      <w:bCs/>
      <w:szCs w:val="21"/>
      <w:lang w:val="zh-CN"/>
    </w:rPr>
  </w:style>
  <w:style w:type="character" w:customStyle="1" w:styleId="928">
    <w:name w:val="FA正文 Char Char"/>
    <w:link w:val="927"/>
    <w:qFormat/>
    <w:uiPriority w:val="0"/>
    <w:rPr>
      <w:rFonts w:hAnsi="宋体"/>
      <w:bCs/>
      <w:kern w:val="2"/>
      <w:sz w:val="24"/>
      <w:szCs w:val="21"/>
      <w:lang w:val="zh-CN" w:eastAsia="zh-CN"/>
    </w:rPr>
  </w:style>
  <w:style w:type="character" w:customStyle="1" w:styleId="929">
    <w:name w:val="段落正文 Char"/>
    <w:link w:val="563"/>
    <w:qFormat/>
    <w:uiPriority w:val="0"/>
    <w:rPr>
      <w:rFonts w:ascii="宋体"/>
      <w:spacing w:val="2"/>
      <w:kern w:val="2"/>
      <w:sz w:val="24"/>
    </w:rPr>
  </w:style>
  <w:style w:type="paragraph" w:customStyle="1" w:styleId="930">
    <w:name w:val="段落正文 Char Char1 Char"/>
    <w:basedOn w:val="1"/>
    <w:qFormat/>
    <w:uiPriority w:val="0"/>
    <w:pPr>
      <w:spacing w:before="120" w:beforeLines="50" w:after="120" w:afterLines="50" w:line="360" w:lineRule="auto"/>
      <w:ind w:firstLine="480" w:firstLineChars="200"/>
    </w:pPr>
    <w:rPr>
      <w:bCs/>
    </w:rPr>
  </w:style>
  <w:style w:type="paragraph" w:customStyle="1" w:styleId="931">
    <w:name w:val="Char2 Char Char Char Char Char Char"/>
    <w:basedOn w:val="1"/>
    <w:qFormat/>
    <w:uiPriority w:val="0"/>
    <w:pPr>
      <w:widowControl/>
      <w:spacing w:before="120" w:beforeLines="50" w:after="160" w:afterLines="50" w:line="240" w:lineRule="exact"/>
      <w:ind w:firstLine="480" w:firstLineChars="200"/>
      <w:jc w:val="left"/>
    </w:pPr>
    <w:rPr>
      <w:rFonts w:ascii="Verdana" w:hAnsi="Verdana"/>
      <w:bCs/>
      <w:kern w:val="0"/>
      <w:sz w:val="20"/>
      <w:lang w:eastAsia="en-US"/>
    </w:rPr>
  </w:style>
  <w:style w:type="paragraph" w:customStyle="1" w:styleId="932">
    <w:name w:val="大汉方案正文"/>
    <w:basedOn w:val="1"/>
    <w:link w:val="933"/>
    <w:qFormat/>
    <w:uiPriority w:val="0"/>
    <w:pPr>
      <w:spacing w:before="120" w:beforeLines="50" w:after="120" w:afterLines="50" w:line="360" w:lineRule="auto"/>
      <w:ind w:firstLine="480" w:firstLineChars="200"/>
    </w:pPr>
    <w:rPr>
      <w:rFonts w:ascii="Arial" w:hAnsi="Arial"/>
      <w:bCs/>
      <w:lang w:val="zh-CN"/>
    </w:rPr>
  </w:style>
  <w:style w:type="character" w:customStyle="1" w:styleId="933">
    <w:name w:val="大汉方案正文 Char1"/>
    <w:link w:val="932"/>
    <w:qFormat/>
    <w:uiPriority w:val="0"/>
    <w:rPr>
      <w:rFonts w:ascii="Arial" w:hAnsi="Arial"/>
      <w:bCs/>
      <w:kern w:val="2"/>
      <w:sz w:val="24"/>
      <w:szCs w:val="24"/>
      <w:lang w:val="zh-CN" w:eastAsia="zh-CN"/>
    </w:rPr>
  </w:style>
  <w:style w:type="paragraph" w:customStyle="1" w:styleId="934">
    <w:name w:val="样式 样式 样式 标题 2H21.1sect 1.2HD2Heading 2 HiddenHeading 2 CCBSTitr...."/>
    <w:basedOn w:val="1"/>
    <w:qFormat/>
    <w:uiPriority w:val="0"/>
    <w:pPr>
      <w:keepNext/>
      <w:keepLines/>
      <w:tabs>
        <w:tab w:val="left" w:pos="425"/>
      </w:tabs>
      <w:spacing w:before="120" w:beforeLines="150" w:after="120" w:afterLines="100" w:line="360" w:lineRule="auto"/>
      <w:ind w:left="425" w:hanging="425" w:firstLineChars="200"/>
      <w:outlineLvl w:val="1"/>
    </w:pPr>
    <w:rPr>
      <w:rFonts w:ascii="Arial" w:hAnsi="Arial" w:eastAsia="黑体" w:cs="宋体"/>
      <w:b/>
      <w:sz w:val="32"/>
      <w:szCs w:val="20"/>
    </w:rPr>
  </w:style>
  <w:style w:type="paragraph" w:customStyle="1" w:styleId="935">
    <w:name w:val="样式 文档正文 + 段后: 0 磅 行距: 单倍行距"/>
    <w:basedOn w:val="438"/>
    <w:qFormat/>
    <w:uiPriority w:val="0"/>
    <w:pPr>
      <w:spacing w:before="100" w:beforeLines="50" w:beforeAutospacing="1" w:after="100" w:afterLines="50" w:afterAutospacing="1" w:line="360" w:lineRule="auto"/>
      <w:ind w:firstLine="0"/>
    </w:pPr>
    <w:rPr>
      <w:rFonts w:ascii="华文细黑" w:hAnsi="华文细黑" w:eastAsia="华文细黑"/>
      <w:bCs/>
      <w:color w:val="000000"/>
    </w:rPr>
  </w:style>
  <w:style w:type="paragraph" w:customStyle="1" w:styleId="936">
    <w:name w:val="小标题"/>
    <w:basedOn w:val="1"/>
    <w:qFormat/>
    <w:uiPriority w:val="0"/>
    <w:pPr>
      <w:numPr>
        <w:ilvl w:val="0"/>
        <w:numId w:val="38"/>
      </w:numPr>
      <w:tabs>
        <w:tab w:val="clear" w:pos="420"/>
      </w:tabs>
      <w:adjustRightInd w:val="0"/>
      <w:spacing w:before="312" w:beforeLines="100" w:after="120" w:afterLines="50" w:line="360" w:lineRule="auto"/>
      <w:ind w:left="0" w:firstLine="200" w:firstLineChars="200"/>
      <w:textAlignment w:val="baseline"/>
    </w:pPr>
    <w:rPr>
      <w:rFonts w:ascii="Verdana" w:hAnsi="Verdana"/>
      <w:b/>
      <w:bCs/>
      <w:lang w:val="zh-CN"/>
    </w:rPr>
  </w:style>
  <w:style w:type="paragraph" w:customStyle="1" w:styleId="937">
    <w:name w:val="方案正文 Char"/>
    <w:basedOn w:val="1"/>
    <w:link w:val="938"/>
    <w:qFormat/>
    <w:uiPriority w:val="0"/>
    <w:pPr>
      <w:spacing w:before="120" w:beforeLines="50" w:after="120" w:afterLines="50" w:line="300" w:lineRule="auto"/>
      <w:ind w:firstLine="420" w:firstLineChars="200"/>
    </w:pPr>
    <w:rPr>
      <w:bCs/>
    </w:rPr>
  </w:style>
  <w:style w:type="character" w:customStyle="1" w:styleId="938">
    <w:name w:val="方案正文 Char Char"/>
    <w:link w:val="937"/>
    <w:qFormat/>
    <w:uiPriority w:val="0"/>
    <w:rPr>
      <w:bCs/>
      <w:kern w:val="2"/>
      <w:sz w:val="24"/>
      <w:szCs w:val="24"/>
    </w:rPr>
  </w:style>
  <w:style w:type="character" w:customStyle="1" w:styleId="939">
    <w:name w:val="yellow9pt_01"/>
    <w:qFormat/>
    <w:uiPriority w:val="0"/>
    <w:rPr>
      <w:rFonts w:cs="Times New Roman"/>
    </w:rPr>
  </w:style>
  <w:style w:type="paragraph" w:customStyle="1" w:styleId="940">
    <w:name w:val="封面标题"/>
    <w:basedOn w:val="1"/>
    <w:qFormat/>
    <w:uiPriority w:val="0"/>
    <w:pPr>
      <w:spacing w:before="120" w:beforeLines="50" w:after="120" w:afterLines="50" w:line="360" w:lineRule="auto"/>
      <w:ind w:firstLine="480" w:firstLineChars="200"/>
      <w:jc w:val="center"/>
    </w:pPr>
    <w:rPr>
      <w:rFonts w:ascii="Tahoma" w:hAnsi="Tahoma" w:eastAsia="华文新魏"/>
      <w:bCs/>
      <w:sz w:val="52"/>
      <w:szCs w:val="20"/>
    </w:rPr>
  </w:style>
  <w:style w:type="character" w:customStyle="1" w:styleId="941">
    <w:name w:val="bluelink1"/>
    <w:qFormat/>
    <w:uiPriority w:val="0"/>
    <w:rPr>
      <w:color w:val="7096BF"/>
    </w:rPr>
  </w:style>
  <w:style w:type="character" w:customStyle="1" w:styleId="942">
    <w:name w:val="leftmenublue1"/>
    <w:qFormat/>
    <w:uiPriority w:val="0"/>
    <w:rPr>
      <w:b/>
      <w:bCs/>
      <w:color w:val="095CB1"/>
    </w:rPr>
  </w:style>
  <w:style w:type="paragraph" w:customStyle="1" w:styleId="943">
    <w:name w:val="AOBullet"/>
    <w:basedOn w:val="1"/>
    <w:qFormat/>
    <w:uiPriority w:val="0"/>
    <w:pPr>
      <w:widowControl/>
      <w:tabs>
        <w:tab w:val="left" w:pos="720"/>
      </w:tabs>
      <w:spacing w:before="240" w:beforeLines="50" w:after="120" w:afterLines="50" w:line="260" w:lineRule="atLeast"/>
      <w:ind w:left="720" w:hanging="720" w:firstLineChars="200"/>
    </w:pPr>
    <w:rPr>
      <w:bCs/>
      <w:kern w:val="0"/>
      <w:sz w:val="22"/>
      <w:szCs w:val="20"/>
    </w:rPr>
  </w:style>
  <w:style w:type="paragraph" w:customStyle="1" w:styleId="944">
    <w:name w:val="Char Char Char Char Char Char Char1"/>
    <w:basedOn w:val="24"/>
    <w:next w:val="1"/>
    <w:semiHidden/>
    <w:qFormat/>
    <w:uiPriority w:val="0"/>
    <w:pPr>
      <w:autoSpaceDE w:val="0"/>
      <w:autoSpaceDN w:val="0"/>
      <w:spacing w:before="120" w:beforeLines="50"/>
      <w:ind w:firstLine="480" w:firstLineChars="200"/>
    </w:pPr>
    <w:rPr>
      <w:rFonts w:ascii="Tahoma" w:hAnsi="Tahoma"/>
      <w:bCs/>
    </w:rPr>
  </w:style>
  <w:style w:type="paragraph" w:customStyle="1" w:styleId="945">
    <w:name w:val="4 Char"/>
    <w:basedOn w:val="1"/>
    <w:qFormat/>
    <w:uiPriority w:val="0"/>
    <w:pPr>
      <w:adjustRightInd w:val="0"/>
      <w:spacing w:before="120" w:beforeLines="50" w:after="120" w:afterLines="50" w:line="360" w:lineRule="auto"/>
      <w:ind w:firstLine="480" w:firstLineChars="200"/>
    </w:pPr>
    <w:rPr>
      <w:bCs/>
      <w:kern w:val="0"/>
      <w:szCs w:val="20"/>
    </w:rPr>
  </w:style>
  <w:style w:type="paragraph" w:customStyle="1" w:styleId="946">
    <w:name w:val="样式 标题 1标书1H1h11st levelSection Headl1标题一Heading 0PIM 1...1"/>
    <w:basedOn w:val="3"/>
    <w:qFormat/>
    <w:uiPriority w:val="0"/>
    <w:pPr>
      <w:pageBreakBefore/>
      <w:numPr>
        <w:numId w:val="0"/>
      </w:numPr>
      <w:tabs>
        <w:tab w:val="left" w:pos="432"/>
      </w:tabs>
      <w:adjustRightInd w:val="0"/>
      <w:snapToGrid w:val="0"/>
      <w:spacing w:before="320" w:beforeLines="50" w:after="260" w:afterLines="50" w:line="240" w:lineRule="auto"/>
      <w:ind w:left="432" w:hanging="432"/>
      <w:jc w:val="left"/>
      <w:textAlignment w:val="baseline"/>
    </w:pPr>
    <w:rPr>
      <w:rFonts w:ascii="Times New Roman" w:hAnsi="Times New Roman" w:eastAsia="黑体" w:cs="宋体"/>
      <w:color w:val="auto"/>
      <w:sz w:val="32"/>
      <w:szCs w:val="20"/>
    </w:rPr>
  </w:style>
  <w:style w:type="paragraph" w:customStyle="1" w:styleId="947">
    <w:name w:val="样式 标题 2H2Heading 2 HiddenHeading 2 CCBSheading 2第一章 标题 2IS..."/>
    <w:basedOn w:val="4"/>
    <w:qFormat/>
    <w:uiPriority w:val="0"/>
    <w:pPr>
      <w:tabs>
        <w:tab w:val="left" w:pos="576"/>
      </w:tabs>
      <w:adjustRightInd w:val="0"/>
      <w:snapToGrid w:val="0"/>
      <w:spacing w:before="320" w:beforeLines="50" w:afterLines="50"/>
      <w:ind w:left="576" w:hanging="576"/>
      <w:textAlignment w:val="baseline"/>
    </w:pPr>
    <w:rPr>
      <w:rFonts w:cs="宋体"/>
      <w:bCs w:val="0"/>
      <w:kern w:val="0"/>
      <w:szCs w:val="20"/>
    </w:rPr>
  </w:style>
  <w:style w:type="paragraph" w:customStyle="1" w:styleId="948">
    <w:name w:val="样式 标题 3Level 3 HeadH3Heading 3 - oldh3sect1.2.3Head33l3...1"/>
    <w:basedOn w:val="5"/>
    <w:qFormat/>
    <w:uiPriority w:val="0"/>
    <w:pPr>
      <w:tabs>
        <w:tab w:val="left" w:pos="720"/>
      </w:tabs>
      <w:adjustRightInd w:val="0"/>
      <w:snapToGrid w:val="0"/>
      <w:spacing w:before="120" w:beforeLines="50" w:after="312" w:afterLines="50"/>
      <w:ind w:left="720" w:hanging="720"/>
      <w:textAlignment w:val="baseline"/>
    </w:pPr>
    <w:rPr>
      <w:rFonts w:ascii="Times New Roman" w:hAnsi="Times New Roman" w:cs="宋体"/>
      <w:bCs w:val="0"/>
      <w:kern w:val="0"/>
      <w:szCs w:val="20"/>
    </w:rPr>
  </w:style>
  <w:style w:type="paragraph" w:customStyle="1" w:styleId="949">
    <w:name w:val="正文字缩1字"/>
    <w:basedOn w:val="1"/>
    <w:qFormat/>
    <w:uiPriority w:val="0"/>
    <w:pPr>
      <w:spacing w:before="60" w:after="60" w:line="360" w:lineRule="auto"/>
      <w:ind w:left="100" w:leftChars="100" w:firstLine="480" w:firstLineChars="200"/>
    </w:pPr>
    <w:rPr>
      <w:bCs/>
    </w:rPr>
  </w:style>
  <w:style w:type="character" w:customStyle="1" w:styleId="950">
    <w:name w:val="图片 字符"/>
    <w:link w:val="365"/>
    <w:qFormat/>
    <w:uiPriority w:val="0"/>
    <w:rPr>
      <w:rFonts w:ascii="宋体" w:hAnsi="宋体"/>
      <w:kern w:val="2"/>
      <w:sz w:val="24"/>
      <w:szCs w:val="24"/>
    </w:rPr>
  </w:style>
  <w:style w:type="character" w:customStyle="1" w:styleId="951">
    <w:name w:val="表格 字符"/>
    <w:qFormat/>
    <w:uiPriority w:val="0"/>
    <w:rPr>
      <w:rFonts w:ascii="宋体" w:hAnsi="宋体"/>
      <w:bCs/>
      <w:kern w:val="2"/>
      <w:sz w:val="24"/>
      <w:szCs w:val="24"/>
    </w:rPr>
  </w:style>
  <w:style w:type="character" w:customStyle="1" w:styleId="952">
    <w:name w:val="blacklinkfont1"/>
    <w:qFormat/>
    <w:uiPriority w:val="0"/>
    <w:rPr>
      <w:rFonts w:hint="default" w:ascii="ˎ̥" w:hAnsi="ˎ̥"/>
      <w:b/>
      <w:bCs/>
      <w:color w:val="000000"/>
      <w:sz w:val="20"/>
      <w:szCs w:val="20"/>
    </w:rPr>
  </w:style>
  <w:style w:type="character" w:customStyle="1" w:styleId="953">
    <w:name w:val="@他1"/>
    <w:semiHidden/>
    <w:unhideWhenUsed/>
    <w:qFormat/>
    <w:uiPriority w:val="99"/>
    <w:rPr>
      <w:color w:val="2B579A"/>
      <w:shd w:val="clear" w:color="auto" w:fill="E6E6E6"/>
    </w:rPr>
  </w:style>
  <w:style w:type="table" w:customStyle="1" w:styleId="954">
    <w:name w:val="wxzhang"/>
    <w:basedOn w:val="75"/>
    <w:qFormat/>
    <w:uiPriority w:val="0"/>
    <w:pPr>
      <w:snapToGrid w:val="0"/>
      <w:jc w:val="both"/>
    </w:pPr>
    <w:rPr>
      <w:kern w:val="2"/>
      <w:sz w:val="21"/>
      <w:szCs w:val="21"/>
    </w:rPr>
    <w:tblP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
    <w:tcPr>
      <w:vAlign w:val="center"/>
    </w:tcPr>
    <w:tblStylePr w:type="firstRow">
      <w:pPr>
        <w:wordWrap/>
        <w:spacing w:line="240" w:lineRule="auto"/>
        <w:jc w:val="center"/>
      </w:pPr>
      <w:rPr>
        <w:rFonts w:eastAsia="黑体"/>
        <w:b/>
        <w:sz w:val="21"/>
      </w:rPr>
      <w:tcPr>
        <w:vAlign w:val="center"/>
      </w:tcPr>
    </w:tblStylePr>
    <w:tblStylePr w:type="firstCol">
      <w:rPr>
        <w:rFonts w:eastAsia="宋体"/>
      </w:rPr>
    </w:tblStylePr>
  </w:style>
  <w:style w:type="character" w:customStyle="1" w:styleId="955">
    <w:name w:val="图片居中 Char"/>
    <w:link w:val="282"/>
    <w:qFormat/>
    <w:locked/>
    <w:uiPriority w:val="0"/>
    <w:rPr>
      <w:kern w:val="2"/>
      <w:sz w:val="21"/>
      <w:szCs w:val="22"/>
      <w:lang w:val="zh-CN"/>
    </w:rPr>
  </w:style>
  <w:style w:type="paragraph" w:customStyle="1" w:styleId="956">
    <w:name w:val="xl22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color w:val="00B0F0"/>
      <w:kern w:val="0"/>
      <w:szCs w:val="21"/>
    </w:rPr>
  </w:style>
  <w:style w:type="paragraph" w:customStyle="1" w:styleId="957">
    <w:name w:val="xl2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textAlignment w:val="center"/>
    </w:pPr>
    <w:rPr>
      <w:rFonts w:hAnsi="宋体" w:cs="宋体"/>
      <w:color w:val="00B0F0"/>
      <w:kern w:val="0"/>
      <w:szCs w:val="21"/>
    </w:rPr>
  </w:style>
  <w:style w:type="paragraph" w:customStyle="1" w:styleId="958">
    <w:name w:val="xl230"/>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color w:val="FF0000"/>
      <w:kern w:val="0"/>
      <w:szCs w:val="21"/>
    </w:rPr>
  </w:style>
  <w:style w:type="paragraph" w:customStyle="1" w:styleId="959">
    <w:name w:val="xl2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color w:val="FF0000"/>
      <w:kern w:val="0"/>
      <w:szCs w:val="21"/>
    </w:rPr>
  </w:style>
  <w:style w:type="paragraph" w:customStyle="1" w:styleId="960">
    <w:name w:val="xl2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color w:val="FF0000"/>
      <w:kern w:val="0"/>
      <w:szCs w:val="21"/>
    </w:rPr>
  </w:style>
  <w:style w:type="paragraph" w:customStyle="1" w:styleId="961">
    <w:name w:val="xl2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color w:val="FF0000"/>
      <w:kern w:val="0"/>
      <w:szCs w:val="21"/>
    </w:rPr>
  </w:style>
  <w:style w:type="paragraph" w:customStyle="1" w:styleId="962">
    <w:name w:val="xl2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color w:val="FF0000"/>
      <w:kern w:val="0"/>
      <w:szCs w:val="21"/>
    </w:rPr>
  </w:style>
  <w:style w:type="paragraph" w:customStyle="1" w:styleId="963">
    <w:name w:val="xl2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color w:val="FF0000"/>
      <w:kern w:val="0"/>
      <w:sz w:val="22"/>
      <w:szCs w:val="22"/>
    </w:rPr>
  </w:style>
  <w:style w:type="paragraph" w:customStyle="1" w:styleId="964">
    <w:name w:val="xl236"/>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b/>
      <w:bCs/>
      <w:color w:val="FF0000"/>
      <w:kern w:val="0"/>
      <w:szCs w:val="21"/>
    </w:rPr>
  </w:style>
  <w:style w:type="paragraph" w:customStyle="1" w:styleId="965">
    <w:name w:val="xl2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b/>
      <w:bCs/>
      <w:color w:val="FF0000"/>
      <w:kern w:val="0"/>
      <w:szCs w:val="21"/>
    </w:rPr>
  </w:style>
  <w:style w:type="paragraph" w:customStyle="1" w:styleId="966">
    <w:name w:val="xl238"/>
    <w:basedOn w:val="1"/>
    <w:qFormat/>
    <w:uiPriority w:val="0"/>
    <w:pPr>
      <w:widowControl/>
      <w:pBdr>
        <w:top w:val="single" w:color="auto" w:sz="4" w:space="0"/>
        <w:left w:val="single" w:color="auto" w:sz="4" w:space="0"/>
        <w:bottom w:val="single" w:color="auto" w:sz="4" w:space="0"/>
        <w:right w:val="double" w:color="auto" w:sz="6" w:space="0"/>
      </w:pBdr>
      <w:shd w:val="clear" w:color="000000" w:fill="FFFFFF"/>
      <w:spacing w:before="100" w:beforeAutospacing="1" w:after="100" w:afterAutospacing="1"/>
      <w:jc w:val="left"/>
      <w:textAlignment w:val="center"/>
    </w:pPr>
    <w:rPr>
      <w:rFonts w:hAnsi="宋体" w:cs="宋体"/>
      <w:b/>
      <w:bCs/>
      <w:color w:val="FF0000"/>
      <w:kern w:val="0"/>
      <w:szCs w:val="21"/>
    </w:rPr>
  </w:style>
  <w:style w:type="paragraph" w:customStyle="1" w:styleId="967">
    <w:name w:val="xl23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color w:val="FF0000"/>
      <w:kern w:val="0"/>
      <w:szCs w:val="21"/>
    </w:rPr>
  </w:style>
  <w:style w:type="paragraph" w:customStyle="1" w:styleId="968">
    <w:name w:val="xl24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hAnsi="宋体" w:cs="宋体"/>
      <w:color w:val="FF0000"/>
      <w:kern w:val="0"/>
      <w:szCs w:val="21"/>
    </w:rPr>
  </w:style>
  <w:style w:type="paragraph" w:customStyle="1" w:styleId="969">
    <w:name w:val="xl24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970">
    <w:name w:val="xl242"/>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971">
    <w:name w:val="xl243"/>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972">
    <w:name w:val="xl244"/>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right"/>
      <w:textAlignment w:val="center"/>
    </w:pPr>
    <w:rPr>
      <w:rFonts w:hAnsi="宋体" w:cs="宋体"/>
      <w:b/>
      <w:bCs/>
      <w:kern w:val="0"/>
      <w:szCs w:val="21"/>
    </w:rPr>
  </w:style>
  <w:style w:type="paragraph" w:customStyle="1" w:styleId="973">
    <w:name w:val="xl245"/>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right"/>
      <w:textAlignment w:val="center"/>
    </w:pPr>
    <w:rPr>
      <w:rFonts w:hAnsi="宋体" w:cs="宋体"/>
      <w:b/>
      <w:bCs/>
      <w:kern w:val="0"/>
      <w:szCs w:val="21"/>
    </w:rPr>
  </w:style>
  <w:style w:type="paragraph" w:customStyle="1" w:styleId="974">
    <w:name w:val="xl2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75">
    <w:name w:val="xl247"/>
    <w:basedOn w:val="1"/>
    <w:qFormat/>
    <w:uiPriority w:val="0"/>
    <w:pPr>
      <w:widowControl/>
      <w:pBdr>
        <w:top w:val="single" w:color="auto" w:sz="4" w:space="0"/>
        <w:left w:val="double" w:color="auto" w:sz="6" w:space="0"/>
        <w:bottom w:val="double" w:color="auto" w:sz="6" w:space="0"/>
        <w:right w:val="single" w:color="auto" w:sz="4"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76">
    <w:name w:val="xl248"/>
    <w:basedOn w:val="1"/>
    <w:qFormat/>
    <w:uiPriority w:val="0"/>
    <w:pPr>
      <w:widowControl/>
      <w:pBdr>
        <w:top w:val="single" w:color="auto" w:sz="4" w:space="0"/>
        <w:left w:val="single" w:color="auto" w:sz="4" w:space="0"/>
        <w:bottom w:val="double" w:color="auto" w:sz="6" w:space="0"/>
        <w:right w:val="single" w:color="auto" w:sz="4"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77">
    <w:name w:val="xl249"/>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978">
    <w:name w:val="xl250"/>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979">
    <w:name w:val="xl251"/>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textAlignment w:val="center"/>
    </w:pPr>
    <w:rPr>
      <w:rFonts w:hAnsi="宋体" w:cs="宋体"/>
      <w:b/>
      <w:bCs/>
      <w:color w:val="FF0000"/>
      <w:kern w:val="0"/>
      <w:szCs w:val="21"/>
    </w:rPr>
  </w:style>
  <w:style w:type="paragraph" w:customStyle="1" w:styleId="980">
    <w:name w:val="xl252"/>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textAlignment w:val="center"/>
    </w:pPr>
    <w:rPr>
      <w:rFonts w:hAnsi="宋体" w:cs="宋体"/>
      <w:b/>
      <w:bCs/>
      <w:color w:val="FF0000"/>
      <w:kern w:val="0"/>
      <w:szCs w:val="21"/>
    </w:rPr>
  </w:style>
  <w:style w:type="paragraph" w:customStyle="1" w:styleId="981">
    <w:name w:val="xl25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b/>
      <w:bCs/>
      <w:color w:val="FF0000"/>
      <w:kern w:val="0"/>
      <w:szCs w:val="21"/>
    </w:rPr>
  </w:style>
  <w:style w:type="paragraph" w:customStyle="1" w:styleId="982">
    <w:name w:val="xl254"/>
    <w:basedOn w:val="1"/>
    <w:qFormat/>
    <w:uiPriority w:val="0"/>
    <w:pPr>
      <w:widowControl/>
      <w:pBdr>
        <w:top w:val="single" w:color="auto" w:sz="4" w:space="0"/>
        <w:left w:val="double" w:color="auto" w:sz="6" w:space="0"/>
        <w:bottom w:val="double" w:color="auto" w:sz="6"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83">
    <w:name w:val="xl255"/>
    <w:basedOn w:val="1"/>
    <w:qFormat/>
    <w:uiPriority w:val="0"/>
    <w:pPr>
      <w:widowControl/>
      <w:pBdr>
        <w:top w:val="single" w:color="auto" w:sz="4" w:space="0"/>
        <w:bottom w:val="double" w:color="auto" w:sz="6"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84">
    <w:name w:val="xl256"/>
    <w:basedOn w:val="1"/>
    <w:qFormat/>
    <w:uiPriority w:val="0"/>
    <w:pPr>
      <w:widowControl/>
      <w:pBdr>
        <w:top w:val="single" w:color="auto" w:sz="4" w:space="0"/>
        <w:bottom w:val="double" w:color="auto" w:sz="6" w:space="0"/>
        <w:right w:val="single" w:color="auto" w:sz="4"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85">
    <w:name w:val="xl257"/>
    <w:basedOn w:val="1"/>
    <w:qFormat/>
    <w:uiPriority w:val="0"/>
    <w:pPr>
      <w:widowControl/>
      <w:pBdr>
        <w:bottom w:val="double" w:color="auto" w:sz="6" w:space="0"/>
      </w:pBdr>
      <w:shd w:val="clear" w:color="000000" w:fill="FFFFFF"/>
      <w:spacing w:before="100" w:beforeAutospacing="1" w:after="100" w:afterAutospacing="1"/>
      <w:jc w:val="center"/>
      <w:textAlignment w:val="center"/>
    </w:pPr>
    <w:rPr>
      <w:rFonts w:hAnsi="宋体" w:cs="宋体"/>
      <w:b/>
      <w:bCs/>
      <w:kern w:val="0"/>
      <w:szCs w:val="21"/>
    </w:rPr>
  </w:style>
  <w:style w:type="paragraph" w:customStyle="1" w:styleId="986">
    <w:name w:val="xl258"/>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987">
    <w:name w:val="xl259"/>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hAnsi="宋体" w:cs="宋体"/>
      <w:b/>
      <w:bCs/>
      <w:color w:val="FF0000"/>
      <w:kern w:val="0"/>
      <w:szCs w:val="21"/>
    </w:rPr>
  </w:style>
  <w:style w:type="paragraph" w:customStyle="1" w:styleId="988">
    <w:name w:val="xl260"/>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hAnsi="宋体" w:cs="宋体"/>
      <w:b/>
      <w:bCs/>
      <w:color w:val="FF0000"/>
      <w:kern w:val="0"/>
      <w:szCs w:val="21"/>
    </w:rPr>
  </w:style>
  <w:style w:type="paragraph" w:customStyle="1" w:styleId="989">
    <w:name w:val="xl261"/>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hAnsi="宋体" w:cs="宋体"/>
      <w:b/>
      <w:bCs/>
      <w:color w:val="FF0000"/>
      <w:kern w:val="0"/>
      <w:szCs w:val="21"/>
    </w:rPr>
  </w:style>
  <w:style w:type="paragraph" w:customStyle="1" w:styleId="990">
    <w:name w:val="xl262"/>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991">
    <w:name w:val="xl263"/>
    <w:basedOn w:val="1"/>
    <w:qFormat/>
    <w:uiPriority w:val="0"/>
    <w:pPr>
      <w:widowControl/>
      <w:pBdr>
        <w:bottom w:val="double" w:color="auto" w:sz="6" w:space="0"/>
      </w:pBdr>
      <w:spacing w:before="100" w:beforeAutospacing="1" w:after="100" w:afterAutospacing="1"/>
      <w:jc w:val="left"/>
      <w:textAlignment w:val="center"/>
    </w:pPr>
    <w:rPr>
      <w:rFonts w:hAnsi="宋体" w:cs="宋体"/>
      <w:kern w:val="0"/>
      <w:szCs w:val="21"/>
    </w:rPr>
  </w:style>
  <w:style w:type="paragraph" w:customStyle="1" w:styleId="992">
    <w:name w:val="xl264"/>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993">
    <w:name w:val="xl265"/>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994">
    <w:name w:val="xl266"/>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995">
    <w:name w:val="图位"/>
    <w:basedOn w:val="1"/>
    <w:qFormat/>
    <w:uiPriority w:val="0"/>
    <w:pPr>
      <w:widowControl/>
      <w:tabs>
        <w:tab w:val="left" w:pos="1247"/>
      </w:tabs>
      <w:spacing w:before="120" w:line="288" w:lineRule="auto"/>
      <w:ind w:left="1247"/>
      <w:jc w:val="center"/>
    </w:pPr>
    <w:rPr>
      <w:rFonts w:ascii="Arial" w:hAnsi="Arial"/>
      <w:kern w:val="0"/>
      <w:szCs w:val="21"/>
      <w:lang w:val="pt-BR" w:eastAsia="en-US"/>
    </w:rPr>
  </w:style>
  <w:style w:type="paragraph" w:customStyle="1" w:styleId="996">
    <w:name w:val="BZ_正文"/>
    <w:basedOn w:val="1"/>
    <w:link w:val="997"/>
    <w:qFormat/>
    <w:uiPriority w:val="0"/>
    <w:pPr>
      <w:spacing w:line="360" w:lineRule="auto"/>
      <w:ind w:firstLine="200" w:firstLineChars="200"/>
    </w:pPr>
  </w:style>
  <w:style w:type="character" w:customStyle="1" w:styleId="997">
    <w:name w:val="BZ_正文 Char"/>
    <w:basedOn w:val="81"/>
    <w:link w:val="996"/>
    <w:qFormat/>
    <w:uiPriority w:val="0"/>
    <w:rPr>
      <w:kern w:val="2"/>
      <w:sz w:val="24"/>
      <w:szCs w:val="24"/>
    </w:rPr>
  </w:style>
  <w:style w:type="character" w:customStyle="1" w:styleId="998">
    <w:name w:val="未处理的提及31"/>
    <w:basedOn w:val="81"/>
    <w:semiHidden/>
    <w:unhideWhenUsed/>
    <w:qFormat/>
    <w:uiPriority w:val="99"/>
    <w:rPr>
      <w:color w:val="605E5C"/>
      <w:shd w:val="clear" w:color="auto" w:fill="E1DFDD"/>
    </w:rPr>
  </w:style>
  <w:style w:type="character" w:customStyle="1" w:styleId="999">
    <w:name w:val="_正文 Char"/>
    <w:link w:val="1000"/>
    <w:qFormat/>
    <w:uiPriority w:val="0"/>
    <w:rPr>
      <w:rFonts w:eastAsia="仿宋"/>
      <w:kern w:val="2"/>
      <w:sz w:val="28"/>
      <w:szCs w:val="24"/>
    </w:rPr>
  </w:style>
  <w:style w:type="paragraph" w:customStyle="1" w:styleId="1000">
    <w:name w:val="_正文"/>
    <w:basedOn w:val="1"/>
    <w:link w:val="999"/>
    <w:qFormat/>
    <w:uiPriority w:val="0"/>
    <w:pPr>
      <w:spacing w:line="360" w:lineRule="auto"/>
      <w:ind w:firstLine="480" w:firstLineChars="200"/>
    </w:pPr>
    <w:rPr>
      <w:rFonts w:eastAsia="仿宋"/>
      <w:sz w:val="28"/>
    </w:rPr>
  </w:style>
  <w:style w:type="paragraph" w:customStyle="1" w:styleId="1001">
    <w:name w:val="@正文文本首行缩进 Alt＋w"/>
    <w:basedOn w:val="1"/>
    <w:qFormat/>
    <w:uiPriority w:val="0"/>
    <w:pPr>
      <w:widowControl/>
      <w:spacing w:beforeLines="50" w:afterLines="50" w:line="400" w:lineRule="exact"/>
      <w:ind w:firstLine="460"/>
      <w:jc w:val="left"/>
    </w:pPr>
    <w:rPr>
      <w:color w:val="000000"/>
      <w:kern w:val="0"/>
      <w:sz w:val="23"/>
    </w:rPr>
  </w:style>
  <w:style w:type="paragraph" w:customStyle="1" w:styleId="1002">
    <w:name w:val="ac"/>
    <w:basedOn w:val="1"/>
    <w:qFormat/>
    <w:uiPriority w:val="99"/>
    <w:pPr>
      <w:widowControl/>
      <w:spacing w:before="100" w:beforeAutospacing="1" w:after="100" w:afterAutospacing="1"/>
      <w:ind w:firstLine="200" w:firstLineChars="200"/>
      <w:jc w:val="left"/>
    </w:pPr>
    <w:rPr>
      <w:rFonts w:hAnsi="宋体" w:cs="宋体"/>
    </w:rPr>
  </w:style>
  <w:style w:type="paragraph" w:customStyle="1" w:styleId="1003">
    <w:name w:val="正文123"/>
    <w:basedOn w:val="1"/>
    <w:link w:val="1004"/>
    <w:qFormat/>
    <w:uiPriority w:val="0"/>
    <w:pPr>
      <w:widowControl/>
      <w:spacing w:afterLines="50" w:line="360" w:lineRule="auto"/>
      <w:jc w:val="left"/>
    </w:pPr>
    <w:rPr>
      <w:rFonts w:ascii="Calibri" w:hAnsi="Calibri" w:eastAsia="仿宋"/>
      <w:kern w:val="0"/>
    </w:rPr>
  </w:style>
  <w:style w:type="character" w:customStyle="1" w:styleId="1004">
    <w:name w:val="正文123 Char"/>
    <w:link w:val="1003"/>
    <w:qFormat/>
    <w:locked/>
    <w:uiPriority w:val="0"/>
    <w:rPr>
      <w:rFonts w:ascii="Calibri" w:hAnsi="Calibri" w:eastAsia="仿宋"/>
      <w:sz w:val="24"/>
      <w:szCs w:val="24"/>
    </w:rPr>
  </w:style>
  <w:style w:type="paragraph" w:customStyle="1" w:styleId="1005">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1006">
    <w:name w:val="表格抬头1"/>
    <w:basedOn w:val="1"/>
    <w:link w:val="1009"/>
    <w:qFormat/>
    <w:uiPriority w:val="0"/>
    <w:pPr>
      <w:spacing w:line="288" w:lineRule="auto"/>
    </w:pPr>
    <w:rPr>
      <w:b/>
    </w:rPr>
  </w:style>
  <w:style w:type="paragraph" w:customStyle="1" w:styleId="1007">
    <w:name w:val="表内容"/>
    <w:qFormat/>
    <w:uiPriority w:val="0"/>
    <w:rPr>
      <w:rFonts w:ascii="宋体" w:hAnsi="Times New Roman" w:eastAsia="宋体" w:cs="Times New Roman"/>
      <w:kern w:val="21"/>
      <w:sz w:val="24"/>
      <w:szCs w:val="24"/>
      <w:lang w:val="en-US" w:eastAsia="zh-CN" w:bidi="ar-SA"/>
    </w:rPr>
  </w:style>
  <w:style w:type="paragraph" w:customStyle="1" w:styleId="1008">
    <w:name w:val="排序段落"/>
    <w:next w:val="1"/>
    <w:qFormat/>
    <w:uiPriority w:val="0"/>
    <w:pPr>
      <w:tabs>
        <w:tab w:val="left" w:pos="567"/>
      </w:tabs>
      <w:spacing w:line="360" w:lineRule="auto"/>
      <w:ind w:left="567" w:hanging="567"/>
    </w:pPr>
    <w:rPr>
      <w:rFonts w:ascii="宋体" w:hAnsi="Times New Roman" w:eastAsia="宋体" w:cs="Times New Roman"/>
      <w:b/>
      <w:spacing w:val="20"/>
      <w:kern w:val="28"/>
      <w:sz w:val="28"/>
      <w:lang w:val="en-US" w:eastAsia="zh-CN" w:bidi="ar-SA"/>
    </w:rPr>
  </w:style>
  <w:style w:type="character" w:customStyle="1" w:styleId="1009">
    <w:name w:val="表格抬头1 Char Char"/>
    <w:link w:val="1006"/>
    <w:qFormat/>
    <w:uiPriority w:val="0"/>
    <w:rPr>
      <w:rFonts w:ascii="宋体"/>
      <w:b/>
      <w:kern w:val="2"/>
      <w:sz w:val="24"/>
      <w:szCs w:val="24"/>
    </w:rPr>
  </w:style>
  <w:style w:type="paragraph" w:customStyle="1" w:styleId="1010">
    <w:name w:val="表头文字"/>
    <w:basedOn w:val="1"/>
    <w:link w:val="1011"/>
    <w:qFormat/>
    <w:uiPriority w:val="0"/>
    <w:pPr>
      <w:keepNext/>
      <w:widowControl/>
      <w:spacing w:before="40" w:after="40"/>
      <w:jc w:val="center"/>
    </w:pPr>
    <w:rPr>
      <w:rFonts w:ascii="Arial" w:hAnsi="Arial" w:cs="宋体"/>
      <w:b/>
      <w:kern w:val="0"/>
      <w:sz w:val="18"/>
      <w:szCs w:val="20"/>
    </w:rPr>
  </w:style>
  <w:style w:type="character" w:customStyle="1" w:styleId="1011">
    <w:name w:val="表头文字 Char"/>
    <w:basedOn w:val="81"/>
    <w:link w:val="1010"/>
    <w:qFormat/>
    <w:uiPriority w:val="0"/>
    <w:rPr>
      <w:rFonts w:ascii="Arial" w:hAnsi="Arial" w:cs="宋体"/>
      <w:b/>
      <w:sz w:val="18"/>
    </w:rPr>
  </w:style>
  <w:style w:type="paragraph" w:customStyle="1" w:styleId="1012">
    <w:name w:val="表格内文字"/>
    <w:basedOn w:val="1"/>
    <w:qFormat/>
    <w:uiPriority w:val="0"/>
    <w:pPr>
      <w:keepLines/>
      <w:widowControl/>
      <w:spacing w:before="40" w:after="40"/>
      <w:jc w:val="left"/>
      <w:textAlignment w:val="top"/>
    </w:pPr>
    <w:rPr>
      <w:rFonts w:ascii="Arial" w:hAnsi="Arial" w:cs="宋体"/>
      <w:kern w:val="0"/>
      <w:sz w:val="18"/>
      <w:szCs w:val="18"/>
    </w:rPr>
  </w:style>
  <w:style w:type="paragraph" w:customStyle="1" w:styleId="1013">
    <w:name w:val="表文1"/>
    <w:basedOn w:val="1"/>
    <w:qFormat/>
    <w:uiPriority w:val="0"/>
    <w:pPr>
      <w:spacing w:line="360" w:lineRule="auto"/>
      <w:jc w:val="left"/>
    </w:pPr>
    <w:rPr>
      <w:rFonts w:ascii="Calibri" w:hAnsi="Calibri"/>
      <w:szCs w:val="22"/>
    </w:rPr>
  </w:style>
  <w:style w:type="character" w:customStyle="1" w:styleId="1014">
    <w:name w:val="tor"/>
    <w:basedOn w:val="81"/>
    <w:qFormat/>
    <w:uiPriority w:val="0"/>
  </w:style>
  <w:style w:type="paragraph" w:customStyle="1" w:styleId="1015">
    <w:name w:val="custom_unionstyle"/>
    <w:basedOn w:val="1"/>
    <w:qFormat/>
    <w:uiPriority w:val="0"/>
    <w:pPr>
      <w:widowControl/>
      <w:spacing w:before="100" w:beforeAutospacing="1" w:after="100" w:afterAutospacing="1"/>
      <w:jc w:val="left"/>
    </w:pPr>
    <w:rPr>
      <w:rFonts w:hAnsi="宋体" w:cs="宋体"/>
      <w:kern w:val="0"/>
    </w:rPr>
  </w:style>
  <w:style w:type="paragraph" w:customStyle="1" w:styleId="1016">
    <w:name w:val="方案正文"/>
    <w:basedOn w:val="1"/>
    <w:qFormat/>
    <w:uiPriority w:val="0"/>
    <w:pPr>
      <w:autoSpaceDE w:val="0"/>
      <w:autoSpaceDN w:val="0"/>
      <w:adjustRightInd w:val="0"/>
      <w:snapToGrid w:val="0"/>
      <w:spacing w:line="288" w:lineRule="auto"/>
      <w:ind w:firstLine="425" w:firstLineChars="177"/>
    </w:pPr>
    <w:rPr>
      <w:rFonts w:ascii="微软雅黑" w:hAnsi="微软雅黑" w:eastAsia="微软雅黑" w:cs="仿宋"/>
      <w:kern w:val="0"/>
    </w:rPr>
  </w:style>
  <w:style w:type="paragraph" w:customStyle="1" w:styleId="1017">
    <w:name w:val="xl168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18">
    <w:name w:val="xl168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19">
    <w:name w:val="xl168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20">
    <w:name w:val="xl16860"/>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21">
    <w:name w:val="xl16861"/>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022">
    <w:name w:val="xl16862"/>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023">
    <w:name w:val="xl16863"/>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024">
    <w:name w:val="xl16864"/>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025">
    <w:name w:val="xl16865"/>
    <w:basedOn w:val="1"/>
    <w:qFormat/>
    <w:uiPriority w:val="0"/>
    <w:pPr>
      <w:widowControl/>
      <w:spacing w:before="100" w:beforeAutospacing="1" w:after="100" w:afterAutospacing="1"/>
      <w:jc w:val="left"/>
      <w:textAlignment w:val="center"/>
    </w:pPr>
    <w:rPr>
      <w:rFonts w:hAnsi="宋体" w:cs="宋体"/>
      <w:kern w:val="0"/>
      <w:szCs w:val="21"/>
    </w:rPr>
  </w:style>
  <w:style w:type="paragraph" w:customStyle="1" w:styleId="1026">
    <w:name w:val="xl168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27">
    <w:name w:val="xl16867"/>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28">
    <w:name w:val="xl16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29">
    <w:name w:val="xl16869"/>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30">
    <w:name w:val="xl16870"/>
    <w:basedOn w:val="1"/>
    <w:qFormat/>
    <w:uiPriority w:val="0"/>
    <w:pPr>
      <w:widowControl/>
      <w:spacing w:before="100" w:beforeAutospacing="1" w:after="100" w:afterAutospacing="1"/>
      <w:jc w:val="right"/>
      <w:textAlignment w:val="center"/>
    </w:pPr>
    <w:rPr>
      <w:rFonts w:hAnsi="宋体" w:cs="宋体"/>
      <w:kern w:val="0"/>
      <w:szCs w:val="21"/>
    </w:rPr>
  </w:style>
  <w:style w:type="paragraph" w:customStyle="1" w:styleId="1031">
    <w:name w:val="xl16871"/>
    <w:basedOn w:val="1"/>
    <w:qFormat/>
    <w:uiPriority w:val="0"/>
    <w:pPr>
      <w:widowControl/>
      <w:spacing w:before="100" w:beforeAutospacing="1" w:after="100" w:afterAutospacing="1"/>
      <w:jc w:val="left"/>
      <w:textAlignment w:val="center"/>
    </w:pPr>
    <w:rPr>
      <w:rFonts w:hAnsi="宋体" w:cs="宋体"/>
      <w:kern w:val="0"/>
      <w:szCs w:val="21"/>
    </w:rPr>
  </w:style>
  <w:style w:type="paragraph" w:customStyle="1" w:styleId="1032">
    <w:name w:val="xl16872"/>
    <w:basedOn w:val="1"/>
    <w:qFormat/>
    <w:uiPriority w:val="0"/>
    <w:pPr>
      <w:widowControl/>
      <w:spacing w:before="100" w:beforeAutospacing="1" w:after="100" w:afterAutospacing="1"/>
      <w:jc w:val="center"/>
      <w:textAlignment w:val="center"/>
    </w:pPr>
    <w:rPr>
      <w:rFonts w:hAnsi="宋体" w:cs="宋体"/>
      <w:kern w:val="0"/>
      <w:szCs w:val="21"/>
    </w:rPr>
  </w:style>
  <w:style w:type="paragraph" w:customStyle="1" w:styleId="1033">
    <w:name w:val="xl16873"/>
    <w:basedOn w:val="1"/>
    <w:qFormat/>
    <w:uiPriority w:val="0"/>
    <w:pPr>
      <w:widowControl/>
      <w:spacing w:before="100" w:beforeAutospacing="1" w:after="100" w:afterAutospacing="1"/>
      <w:jc w:val="right"/>
      <w:textAlignment w:val="center"/>
    </w:pPr>
    <w:rPr>
      <w:rFonts w:hAnsi="宋体" w:cs="宋体"/>
      <w:kern w:val="0"/>
      <w:szCs w:val="21"/>
    </w:rPr>
  </w:style>
  <w:style w:type="paragraph" w:customStyle="1" w:styleId="1034">
    <w:name w:val="xl16874"/>
    <w:basedOn w:val="1"/>
    <w:qFormat/>
    <w:uiPriority w:val="0"/>
    <w:pPr>
      <w:widowControl/>
      <w:spacing w:before="100" w:beforeAutospacing="1" w:after="100" w:afterAutospacing="1"/>
      <w:jc w:val="center"/>
      <w:textAlignment w:val="center"/>
    </w:pPr>
    <w:rPr>
      <w:rFonts w:hAnsi="宋体" w:cs="宋体"/>
      <w:kern w:val="0"/>
      <w:szCs w:val="21"/>
    </w:rPr>
  </w:style>
  <w:style w:type="paragraph" w:customStyle="1" w:styleId="1035">
    <w:name w:val="xl168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36">
    <w:name w:val="xl168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37">
    <w:name w:val="xl168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38">
    <w:name w:val="xl1687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39">
    <w:name w:val="xl16879"/>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40">
    <w:name w:val="xl16880"/>
    <w:basedOn w:val="1"/>
    <w:qFormat/>
    <w:uiPriority w:val="0"/>
    <w:pPr>
      <w:widowControl/>
      <w:spacing w:before="100" w:beforeAutospacing="1" w:after="100" w:afterAutospacing="1"/>
      <w:jc w:val="left"/>
      <w:textAlignment w:val="center"/>
    </w:pPr>
    <w:rPr>
      <w:rFonts w:hAnsi="宋体" w:cs="宋体"/>
      <w:kern w:val="0"/>
      <w:szCs w:val="21"/>
    </w:rPr>
  </w:style>
  <w:style w:type="paragraph" w:customStyle="1" w:styleId="1041">
    <w:name w:val="xl16881"/>
    <w:basedOn w:val="1"/>
    <w:qFormat/>
    <w:uiPriority w:val="0"/>
    <w:pPr>
      <w:widowControl/>
      <w:spacing w:before="100" w:beforeAutospacing="1" w:after="100" w:afterAutospacing="1"/>
      <w:jc w:val="center"/>
      <w:textAlignment w:val="center"/>
    </w:pPr>
    <w:rPr>
      <w:rFonts w:hAnsi="宋体" w:cs="宋体"/>
      <w:kern w:val="0"/>
      <w:szCs w:val="21"/>
    </w:rPr>
  </w:style>
  <w:style w:type="paragraph" w:customStyle="1" w:styleId="1042">
    <w:name w:val="xl16882"/>
    <w:basedOn w:val="1"/>
    <w:qFormat/>
    <w:uiPriority w:val="0"/>
    <w:pPr>
      <w:widowControl/>
      <w:pBdr>
        <w:top w:val="single" w:color="auto" w:sz="4" w:space="0"/>
        <w:left w:val="double" w:color="auto" w:sz="6"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1043">
    <w:name w:val="xl168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hAnsi="宋体" w:cs="宋体"/>
      <w:kern w:val="0"/>
      <w:szCs w:val="21"/>
    </w:rPr>
  </w:style>
  <w:style w:type="paragraph" w:customStyle="1" w:styleId="1044">
    <w:name w:val="xl168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1045">
    <w:name w:val="xl16885"/>
    <w:basedOn w:val="1"/>
    <w:qFormat/>
    <w:uiPriority w:val="0"/>
    <w:pPr>
      <w:widowControl/>
      <w:pBdr>
        <w:top w:val="single" w:color="auto" w:sz="4" w:space="0"/>
        <w:left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46">
    <w:name w:val="xl168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textAlignment w:val="center"/>
    </w:pPr>
    <w:rPr>
      <w:rFonts w:hAnsi="宋体" w:cs="宋体"/>
      <w:kern w:val="0"/>
      <w:szCs w:val="21"/>
    </w:rPr>
  </w:style>
  <w:style w:type="paragraph" w:customStyle="1" w:styleId="1047">
    <w:name w:val="xl16887"/>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48">
    <w:name w:val="xl16888"/>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49">
    <w:name w:val="xl16889"/>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050">
    <w:name w:val="xl1689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051">
    <w:name w:val="xl1689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1052">
    <w:name w:val="xl16892"/>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1053">
    <w:name w:val="xl16893"/>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b/>
      <w:bCs/>
      <w:kern w:val="0"/>
      <w:szCs w:val="21"/>
    </w:rPr>
  </w:style>
  <w:style w:type="paragraph" w:customStyle="1" w:styleId="1054">
    <w:name w:val="xl16894"/>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055">
    <w:name w:val="xl1689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56">
    <w:name w:val="xl16896"/>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57">
    <w:name w:val="xl1689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58">
    <w:name w:val="xl168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59">
    <w:name w:val="xl168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60">
    <w:name w:val="xl169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61">
    <w:name w:val="xl16901"/>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62">
    <w:name w:val="xl169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63">
    <w:name w:val="xl169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64">
    <w:name w:val="xl169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65">
    <w:name w:val="xl169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66">
    <w:name w:val="xl169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67">
    <w:name w:val="xl169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68">
    <w:name w:val="xl169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69">
    <w:name w:val="xl169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0">
    <w:name w:val="xl169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1">
    <w:name w:val="xl169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72">
    <w:name w:val="xl169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3">
    <w:name w:val="xl16913"/>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74">
    <w:name w:val="xl169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5">
    <w:name w:val="xl169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6">
    <w:name w:val="xl169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7">
    <w:name w:val="xl169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78">
    <w:name w:val="xl169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79">
    <w:name w:val="xl169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80">
    <w:name w:val="xl169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81">
    <w:name w:val="xl169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82">
    <w:name w:val="xl1692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83">
    <w:name w:val="xl1692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84">
    <w:name w:val="xl16924"/>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85">
    <w:name w:val="xl1692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86">
    <w:name w:val="xl16926"/>
    <w:basedOn w:val="1"/>
    <w:qFormat/>
    <w:uiPriority w:val="0"/>
    <w:pPr>
      <w:widowControl/>
      <w:pBdr>
        <w:top w:val="single" w:color="auto" w:sz="4" w:space="0"/>
        <w:left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87">
    <w:name w:val="xl16927"/>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088">
    <w:name w:val="xl1692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089">
    <w:name w:val="xl16929"/>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090">
    <w:name w:val="xl1693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1091">
    <w:name w:val="xl16931"/>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jc w:val="right"/>
      <w:textAlignment w:val="center"/>
    </w:pPr>
    <w:rPr>
      <w:rFonts w:hAnsi="宋体" w:cs="宋体"/>
      <w:kern w:val="0"/>
      <w:szCs w:val="21"/>
    </w:rPr>
  </w:style>
  <w:style w:type="paragraph" w:customStyle="1" w:styleId="1092">
    <w:name w:val="xl16932"/>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093">
    <w:name w:val="xl16933"/>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hAnsi="宋体" w:cs="宋体"/>
      <w:kern w:val="0"/>
      <w:szCs w:val="21"/>
    </w:rPr>
  </w:style>
  <w:style w:type="paragraph" w:customStyle="1" w:styleId="1094">
    <w:name w:val="xl169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95">
    <w:name w:val="xl1693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096">
    <w:name w:val="xl1693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097">
    <w:name w:val="xl16937"/>
    <w:basedOn w:val="1"/>
    <w:qFormat/>
    <w:uiPriority w:val="0"/>
    <w:pPr>
      <w:widowControl/>
      <w:pBdr>
        <w:left w:val="single" w:color="auto" w:sz="4" w:space="0"/>
        <w:bottom w:val="single" w:color="auto" w:sz="4" w:space="0"/>
        <w:right w:val="single" w:color="auto" w:sz="4" w:space="0"/>
      </w:pBdr>
      <w:spacing w:before="100" w:beforeAutospacing="1" w:after="100" w:afterAutospacing="1"/>
      <w:jc w:val="right"/>
      <w:textAlignment w:val="center"/>
    </w:pPr>
    <w:rPr>
      <w:rFonts w:hAnsi="宋体" w:cs="宋体"/>
      <w:kern w:val="0"/>
      <w:szCs w:val="21"/>
    </w:rPr>
  </w:style>
  <w:style w:type="paragraph" w:customStyle="1" w:styleId="1098">
    <w:name w:val="xl16938"/>
    <w:basedOn w:val="1"/>
    <w:qFormat/>
    <w:uiPriority w:val="0"/>
    <w:pPr>
      <w:widowControl/>
      <w:pBdr>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kern w:val="0"/>
      <w:szCs w:val="21"/>
    </w:rPr>
  </w:style>
  <w:style w:type="paragraph" w:customStyle="1" w:styleId="1099">
    <w:name w:val="xl169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00">
    <w:name w:val="xl16940"/>
    <w:basedOn w:val="1"/>
    <w:qFormat/>
    <w:uiPriority w:val="0"/>
    <w:pPr>
      <w:widowControl/>
      <w:spacing w:before="100" w:beforeAutospacing="1" w:after="100" w:afterAutospacing="1"/>
      <w:jc w:val="right"/>
      <w:textAlignment w:val="center"/>
    </w:pPr>
    <w:rPr>
      <w:rFonts w:hAnsi="宋体" w:cs="宋体"/>
      <w:kern w:val="0"/>
      <w:szCs w:val="21"/>
    </w:rPr>
  </w:style>
  <w:style w:type="paragraph" w:customStyle="1" w:styleId="1101">
    <w:name w:val="xl169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02">
    <w:name w:val="xl1694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03">
    <w:name w:val="xl1694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104">
    <w:name w:val="xl169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cs="宋体"/>
      <w:kern w:val="0"/>
      <w:szCs w:val="21"/>
    </w:rPr>
  </w:style>
  <w:style w:type="paragraph" w:customStyle="1" w:styleId="1105">
    <w:name w:val="xl169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hAnsi="宋体" w:cs="宋体"/>
      <w:kern w:val="0"/>
      <w:szCs w:val="21"/>
    </w:rPr>
  </w:style>
  <w:style w:type="paragraph" w:customStyle="1" w:styleId="1106">
    <w:name w:val="xl16946"/>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107">
    <w:name w:val="xl16947"/>
    <w:basedOn w:val="1"/>
    <w:qFormat/>
    <w:uiPriority w:val="0"/>
    <w:pPr>
      <w:widowControl/>
      <w:pBdr>
        <w:top w:val="single" w:color="auto" w:sz="4" w:space="0"/>
        <w:left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08">
    <w:name w:val="xl16948"/>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09">
    <w:name w:val="xl1694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10">
    <w:name w:val="xl16950"/>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111">
    <w:name w:val="xl16951"/>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1112">
    <w:name w:val="xl16952"/>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1113">
    <w:name w:val="xl16953"/>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14">
    <w:name w:val="xl16954"/>
    <w:basedOn w:val="1"/>
    <w:qFormat/>
    <w:uiPriority w:val="0"/>
    <w:pPr>
      <w:widowControl/>
      <w:pBdr>
        <w:top w:val="single" w:color="auto" w:sz="4" w:space="0"/>
        <w:left w:val="single" w:color="auto" w:sz="4" w:space="0"/>
        <w:bottom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115">
    <w:name w:val="xl16955"/>
    <w:basedOn w:val="1"/>
    <w:qFormat/>
    <w:uiPriority w:val="0"/>
    <w:pPr>
      <w:widowControl/>
      <w:pBdr>
        <w:top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116">
    <w:name w:val="xl16956"/>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117">
    <w:name w:val="xl16957"/>
    <w:basedOn w:val="1"/>
    <w:qFormat/>
    <w:uiPriority w:val="0"/>
    <w:pPr>
      <w:widowControl/>
      <w:pBdr>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18">
    <w:name w:val="xl16958"/>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19">
    <w:name w:val="xl16959"/>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20">
    <w:name w:val="xl16960"/>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textAlignment w:val="center"/>
    </w:pPr>
    <w:rPr>
      <w:rFonts w:hAnsi="宋体" w:cs="宋体"/>
      <w:color w:val="00B0F0"/>
      <w:kern w:val="0"/>
      <w:szCs w:val="21"/>
    </w:rPr>
  </w:style>
  <w:style w:type="paragraph" w:customStyle="1" w:styleId="1121">
    <w:name w:val="xl16961"/>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color w:val="00B0F0"/>
      <w:kern w:val="0"/>
      <w:szCs w:val="21"/>
    </w:rPr>
  </w:style>
  <w:style w:type="paragraph" w:customStyle="1" w:styleId="1122">
    <w:name w:val="xl16962"/>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jc w:val="right"/>
      <w:textAlignment w:val="center"/>
    </w:pPr>
    <w:rPr>
      <w:rFonts w:hAnsi="宋体" w:cs="宋体"/>
      <w:color w:val="00B0F0"/>
      <w:kern w:val="0"/>
      <w:szCs w:val="21"/>
    </w:rPr>
  </w:style>
  <w:style w:type="paragraph" w:customStyle="1" w:styleId="1123">
    <w:name w:val="xl16963"/>
    <w:basedOn w:val="1"/>
    <w:qFormat/>
    <w:uiPriority w:val="0"/>
    <w:pPr>
      <w:widowControl/>
      <w:spacing w:before="100" w:beforeAutospacing="1" w:after="100" w:afterAutospacing="1"/>
      <w:jc w:val="left"/>
      <w:textAlignment w:val="center"/>
    </w:pPr>
    <w:rPr>
      <w:rFonts w:hAnsi="宋体" w:cs="宋体"/>
      <w:color w:val="00B0F0"/>
      <w:kern w:val="0"/>
      <w:szCs w:val="21"/>
    </w:rPr>
  </w:style>
  <w:style w:type="paragraph" w:customStyle="1" w:styleId="1124">
    <w:name w:val="xl16964"/>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125">
    <w:name w:val="xl16965"/>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26">
    <w:name w:val="xl16966"/>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27">
    <w:name w:val="xl16967"/>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28">
    <w:name w:val="xl16968"/>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29">
    <w:name w:val="xl16969"/>
    <w:basedOn w:val="1"/>
    <w:qFormat/>
    <w:uiPriority w:val="0"/>
    <w:pPr>
      <w:widowControl/>
      <w:pBdr>
        <w:bottom w:val="double" w:color="auto" w:sz="6" w:space="0"/>
      </w:pBdr>
      <w:spacing w:before="100" w:beforeAutospacing="1" w:after="100" w:afterAutospacing="1"/>
      <w:jc w:val="center"/>
      <w:textAlignment w:val="center"/>
    </w:pPr>
    <w:rPr>
      <w:rFonts w:hAnsi="宋体" w:cs="宋体"/>
      <w:b/>
      <w:bCs/>
      <w:kern w:val="0"/>
      <w:szCs w:val="21"/>
    </w:rPr>
  </w:style>
  <w:style w:type="paragraph" w:customStyle="1" w:styleId="1130">
    <w:name w:val="xl16970"/>
    <w:basedOn w:val="1"/>
    <w:qFormat/>
    <w:uiPriority w:val="0"/>
    <w:pPr>
      <w:widowControl/>
      <w:pBdr>
        <w:top w:val="single" w:color="auto" w:sz="4" w:space="0"/>
        <w:left w:val="double" w:color="auto" w:sz="6"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1131">
    <w:name w:val="xl16971"/>
    <w:basedOn w:val="1"/>
    <w:qFormat/>
    <w:uiPriority w:val="0"/>
    <w:pPr>
      <w:widowControl/>
      <w:pBdr>
        <w:top w:val="single" w:color="auto" w:sz="4" w:space="0"/>
        <w:bottom w:val="double" w:color="auto" w:sz="6" w:space="0"/>
      </w:pBdr>
      <w:spacing w:before="100" w:beforeAutospacing="1" w:after="100" w:afterAutospacing="1"/>
      <w:jc w:val="center"/>
      <w:textAlignment w:val="center"/>
    </w:pPr>
    <w:rPr>
      <w:rFonts w:hAnsi="宋体" w:cs="宋体"/>
      <w:kern w:val="0"/>
      <w:szCs w:val="21"/>
    </w:rPr>
  </w:style>
  <w:style w:type="paragraph" w:customStyle="1" w:styleId="1132">
    <w:name w:val="xl16972"/>
    <w:basedOn w:val="1"/>
    <w:qFormat/>
    <w:uiPriority w:val="0"/>
    <w:pPr>
      <w:widowControl/>
      <w:pBdr>
        <w:top w:val="single" w:color="auto" w:sz="4" w:space="0"/>
        <w:bottom w:val="double" w:color="auto" w:sz="6"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33">
    <w:name w:val="xl16973"/>
    <w:basedOn w:val="1"/>
    <w:qFormat/>
    <w:uiPriority w:val="0"/>
    <w:pPr>
      <w:widowControl/>
      <w:pBdr>
        <w:top w:val="single" w:color="auto" w:sz="4" w:space="0"/>
        <w:left w:val="single" w:color="auto" w:sz="4" w:space="0"/>
        <w:bottom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134">
    <w:name w:val="xl16974"/>
    <w:basedOn w:val="1"/>
    <w:qFormat/>
    <w:uiPriority w:val="0"/>
    <w:pPr>
      <w:widowControl/>
      <w:pBdr>
        <w:top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hAnsi="宋体" w:cs="宋体"/>
      <w:kern w:val="0"/>
      <w:szCs w:val="21"/>
    </w:rPr>
  </w:style>
  <w:style w:type="paragraph" w:customStyle="1" w:styleId="1135">
    <w:name w:val="xl16975"/>
    <w:basedOn w:val="1"/>
    <w:qFormat/>
    <w:uiPriority w:val="0"/>
    <w:pPr>
      <w:widowControl/>
      <w:pBdr>
        <w:left w:val="double" w:color="auto" w:sz="6" w:space="0"/>
        <w:bottom w:val="single" w:color="auto" w:sz="4" w:space="0"/>
        <w:right w:val="single" w:color="auto" w:sz="4" w:space="0"/>
      </w:pBdr>
      <w:spacing w:before="100" w:beforeAutospacing="1" w:after="100" w:afterAutospacing="1"/>
      <w:jc w:val="center"/>
      <w:textAlignment w:val="center"/>
    </w:pPr>
    <w:rPr>
      <w:rFonts w:hAnsi="宋体" w:cs="宋体"/>
      <w:kern w:val="0"/>
      <w:szCs w:val="21"/>
    </w:rPr>
  </w:style>
  <w:style w:type="paragraph" w:customStyle="1" w:styleId="1136">
    <w:name w:val="xl50"/>
    <w:basedOn w:val="1"/>
    <w:qFormat/>
    <w:uiPriority w:val="0"/>
    <w:pPr>
      <w:widowControl/>
      <w:spacing w:before="100" w:beforeAutospacing="1" w:after="100" w:afterAutospacing="1"/>
      <w:jc w:val="center"/>
    </w:pPr>
    <w:rPr>
      <w:rFonts w:ascii="Arial" w:hAnsi="Arial" w:cs="Arial"/>
      <w:kern w:val="0"/>
      <w:sz w:val="28"/>
      <w:szCs w:val="28"/>
    </w:rPr>
  </w:style>
  <w:style w:type="character" w:customStyle="1" w:styleId="1137">
    <w:name w:val="列表项目符号 Char"/>
    <w:link w:val="23"/>
    <w:qFormat/>
    <w:uiPriority w:val="0"/>
    <w:rPr>
      <w:bCs/>
      <w:kern w:val="2"/>
      <w:sz w:val="24"/>
    </w:rPr>
  </w:style>
  <w:style w:type="character" w:customStyle="1" w:styleId="1138">
    <w:name w:val="结束语 Char"/>
    <w:basedOn w:val="81"/>
    <w:link w:val="30"/>
    <w:qFormat/>
    <w:uiPriority w:val="0"/>
    <w:rPr>
      <w:kern w:val="2"/>
      <w:sz w:val="28"/>
      <w:szCs w:val="24"/>
      <w:lang w:val="zh-CN" w:eastAsia="zh-CN"/>
    </w:rPr>
  </w:style>
  <w:style w:type="character" w:customStyle="1" w:styleId="1139">
    <w:name w:val="纯文本 Char"/>
    <w:basedOn w:val="81"/>
    <w:qFormat/>
    <w:uiPriority w:val="99"/>
    <w:rPr>
      <w:rFonts w:ascii="宋体" w:hAnsi="Courier New" w:cs="Courier New"/>
      <w:kern w:val="2"/>
      <w:sz w:val="21"/>
      <w:szCs w:val="21"/>
    </w:rPr>
  </w:style>
  <w:style w:type="character" w:customStyle="1" w:styleId="1140">
    <w:name w:val="内容文本 Char"/>
    <w:link w:val="370"/>
    <w:qFormat/>
    <w:uiPriority w:val="0"/>
    <w:rPr>
      <w:rFonts w:ascii="宋体" w:hAnsi="宋体"/>
      <w:sz w:val="21"/>
      <w:szCs w:val="24"/>
      <w:lang w:eastAsia="en-US" w:bidi="en-US"/>
    </w:rPr>
  </w:style>
  <w:style w:type="paragraph" w:customStyle="1" w:styleId="1141">
    <w:name w:val="样式 首行缩进:  0 字符"/>
    <w:basedOn w:val="1"/>
    <w:qFormat/>
    <w:uiPriority w:val="0"/>
    <w:pPr>
      <w:spacing w:line="360" w:lineRule="auto"/>
      <w:ind w:firstLine="200" w:firstLineChars="200"/>
    </w:pPr>
    <w:rPr>
      <w:rFonts w:ascii="Arial" w:hAnsi="Arial" w:cs="宋体"/>
      <w:szCs w:val="20"/>
    </w:rPr>
  </w:style>
  <w:style w:type="paragraph" w:customStyle="1" w:styleId="1142">
    <w:name w:val="PDGInstructionsBullet"/>
    <w:basedOn w:val="1"/>
    <w:qFormat/>
    <w:uiPriority w:val="99"/>
    <w:pPr>
      <w:widowControl/>
      <w:numPr>
        <w:ilvl w:val="0"/>
        <w:numId w:val="39"/>
      </w:numPr>
      <w:tabs>
        <w:tab w:val="left" w:pos="360"/>
        <w:tab w:val="clear" w:pos="720"/>
      </w:tabs>
      <w:spacing w:before="60" w:after="120"/>
      <w:ind w:left="0" w:right="360" w:firstLine="0"/>
      <w:jc w:val="left"/>
    </w:pPr>
    <w:rPr>
      <w:rFonts w:ascii="Garamond" w:hAnsi="Garamond"/>
      <w:color w:val="FF0000"/>
      <w:kern w:val="0"/>
      <w:szCs w:val="20"/>
      <w:lang w:eastAsia="en-US"/>
    </w:rPr>
  </w:style>
  <w:style w:type="paragraph" w:customStyle="1" w:styleId="1143">
    <w:name w:val="Text body"/>
    <w:basedOn w:val="1"/>
    <w:qFormat/>
    <w:uiPriority w:val="0"/>
    <w:pPr>
      <w:widowControl/>
      <w:tabs>
        <w:tab w:val="left" w:pos="420"/>
      </w:tabs>
      <w:suppressAutoHyphens/>
      <w:spacing w:after="120" w:line="276" w:lineRule="auto"/>
      <w:jc w:val="left"/>
    </w:pPr>
    <w:rPr>
      <w:rFonts w:ascii="Calibri" w:hAnsi="Calibri" w:eastAsia="WenQuanYi Micro Hei"/>
      <w:sz w:val="22"/>
      <w:szCs w:val="22"/>
    </w:rPr>
  </w:style>
  <w:style w:type="paragraph" w:customStyle="1" w:styleId="1144">
    <w:name w:val="my 正文"/>
    <w:basedOn w:val="31"/>
    <w:qFormat/>
    <w:uiPriority w:val="0"/>
    <w:pPr>
      <w:spacing w:before="120" w:line="520" w:lineRule="exact"/>
    </w:pPr>
    <w:rPr>
      <w:rFonts w:ascii="楷体_GB2312" w:hAnsi="Arial" w:eastAsia="楷体_GB2312"/>
      <w:spacing w:val="20"/>
      <w:szCs w:val="20"/>
      <w:lang w:val="zh-CN"/>
    </w:rPr>
  </w:style>
  <w:style w:type="paragraph" w:customStyle="1" w:styleId="1145">
    <w:name w:val="章正文 Char Char"/>
    <w:basedOn w:val="1"/>
    <w:qFormat/>
    <w:uiPriority w:val="99"/>
    <w:pPr>
      <w:spacing w:afterLines="50" w:line="380" w:lineRule="exact"/>
      <w:ind w:firstLine="504" w:firstLineChars="200"/>
    </w:pPr>
    <w:rPr>
      <w:rFonts w:hAnsi="宋体"/>
      <w:spacing w:val="6"/>
    </w:rPr>
  </w:style>
  <w:style w:type="paragraph" w:customStyle="1" w:styleId="1146">
    <w:name w:val="章正文 Char"/>
    <w:basedOn w:val="1"/>
    <w:qFormat/>
    <w:uiPriority w:val="99"/>
    <w:pPr>
      <w:spacing w:afterLines="50" w:line="380" w:lineRule="exact"/>
      <w:ind w:firstLine="504" w:firstLineChars="200"/>
    </w:pPr>
    <w:rPr>
      <w:rFonts w:hAnsi="宋体"/>
      <w:spacing w:val="6"/>
    </w:rPr>
  </w:style>
  <w:style w:type="paragraph" w:customStyle="1" w:styleId="1147">
    <w:name w:val="附图标题"/>
    <w:basedOn w:val="1148"/>
    <w:next w:val="20"/>
    <w:qFormat/>
    <w:uiPriority w:val="0"/>
    <w:pPr>
      <w:numPr>
        <w:ilvl w:val="0"/>
        <w:numId w:val="40"/>
      </w:numPr>
      <w:tabs>
        <w:tab w:val="left" w:pos="360"/>
        <w:tab w:val="clear" w:pos="3240"/>
      </w:tabs>
      <w:spacing w:afterLines="100"/>
      <w:ind w:left="0" w:firstLine="0"/>
    </w:pPr>
    <w:rPr>
      <w:rFonts w:ascii="Arial" w:hAnsi="Arial" w:eastAsia="黑体"/>
      <w:b/>
      <w:sz w:val="18"/>
    </w:rPr>
  </w:style>
  <w:style w:type="paragraph" w:customStyle="1" w:styleId="1148">
    <w:name w:val="附图居中"/>
    <w:basedOn w:val="1"/>
    <w:next w:val="1147"/>
    <w:qFormat/>
    <w:uiPriority w:val="99"/>
    <w:pPr>
      <w:keepNext/>
      <w:jc w:val="center"/>
    </w:pPr>
  </w:style>
  <w:style w:type="paragraph" w:customStyle="1" w:styleId="1149">
    <w:name w:val="PDGInstructions"/>
    <w:basedOn w:val="1"/>
    <w:qFormat/>
    <w:uiPriority w:val="99"/>
    <w:pPr>
      <w:widowControl/>
      <w:spacing w:before="60" w:after="120"/>
      <w:ind w:right="360"/>
      <w:jc w:val="left"/>
    </w:pPr>
    <w:rPr>
      <w:rFonts w:ascii="Garamond" w:hAnsi="Garamond"/>
      <w:color w:val="FF0000"/>
      <w:kern w:val="0"/>
      <w:szCs w:val="20"/>
      <w:lang w:eastAsia="en-US"/>
    </w:rPr>
  </w:style>
  <w:style w:type="paragraph" w:customStyle="1" w:styleId="1150">
    <w:name w:val="Body"/>
    <w:basedOn w:val="1"/>
    <w:link w:val="1151"/>
    <w:qFormat/>
    <w:uiPriority w:val="0"/>
    <w:pPr>
      <w:widowControl/>
      <w:spacing w:before="60" w:after="120"/>
      <w:ind w:left="360" w:right="360"/>
      <w:jc w:val="left"/>
    </w:pPr>
    <w:rPr>
      <w:rFonts w:ascii="Garamond" w:hAnsi="Garamond"/>
      <w:kern w:val="0"/>
      <w:lang w:val="zh-CN" w:eastAsia="en-US"/>
    </w:rPr>
  </w:style>
  <w:style w:type="character" w:customStyle="1" w:styleId="1151">
    <w:name w:val="Body Char"/>
    <w:link w:val="1150"/>
    <w:qFormat/>
    <w:uiPriority w:val="0"/>
    <w:rPr>
      <w:rFonts w:ascii="Garamond" w:hAnsi="Garamond"/>
      <w:sz w:val="24"/>
      <w:szCs w:val="24"/>
      <w:lang w:val="zh-CN" w:eastAsia="en-US"/>
    </w:rPr>
  </w:style>
  <w:style w:type="paragraph" w:customStyle="1" w:styleId="1152">
    <w:name w:val="head1"/>
    <w:basedOn w:val="3"/>
    <w:next w:val="32"/>
    <w:qFormat/>
    <w:uiPriority w:val="99"/>
    <w:pPr>
      <w:pageBreakBefore/>
      <w:overflowPunct w:val="0"/>
      <w:spacing w:beforeLines="150" w:afterLines="150" w:line="360" w:lineRule="auto"/>
      <w:ind w:left="144" w:hanging="144"/>
      <w:jc w:val="center"/>
    </w:pPr>
    <w:rPr>
      <w:rFonts w:eastAsia="黑体"/>
      <w:b w:val="0"/>
      <w:color w:val="auto"/>
      <w:sz w:val="36"/>
      <w:szCs w:val="44"/>
      <w:lang w:val="zh-CN"/>
    </w:rPr>
  </w:style>
  <w:style w:type="paragraph" w:customStyle="1" w:styleId="1153">
    <w:name w:val="Style Heading 1 + 小二"/>
    <w:basedOn w:val="3"/>
    <w:next w:val="1"/>
    <w:qFormat/>
    <w:uiPriority w:val="99"/>
    <w:pPr>
      <w:pageBreakBefore/>
      <w:overflowPunct w:val="0"/>
      <w:spacing w:beforeLines="150" w:afterLines="150" w:line="360" w:lineRule="auto"/>
      <w:ind w:left="144" w:hanging="144"/>
      <w:jc w:val="center"/>
    </w:pPr>
    <w:rPr>
      <w:rFonts w:eastAsia="黑体"/>
      <w:bCs/>
      <w:color w:val="auto"/>
      <w:sz w:val="36"/>
      <w:szCs w:val="44"/>
      <w:lang w:val="zh-CN"/>
    </w:rPr>
  </w:style>
  <w:style w:type="paragraph" w:customStyle="1" w:styleId="1154">
    <w:name w:val="Char Char Char Char Char Char"/>
    <w:basedOn w:val="1"/>
    <w:qFormat/>
    <w:uiPriority w:val="0"/>
    <w:pPr>
      <w:adjustRightInd w:val="0"/>
      <w:spacing w:line="360" w:lineRule="auto"/>
    </w:pPr>
    <w:rPr>
      <w:kern w:val="0"/>
      <w:szCs w:val="20"/>
    </w:rPr>
  </w:style>
  <w:style w:type="paragraph" w:customStyle="1" w:styleId="1155">
    <w:name w:val="样式 表正文正文非缩进特点段1ALT+Z四号标题4正文缩进1 + Arial"/>
    <w:basedOn w:val="1"/>
    <w:qFormat/>
    <w:uiPriority w:val="99"/>
    <w:pPr>
      <w:spacing w:line="360" w:lineRule="auto"/>
      <w:ind w:firstLine="420"/>
    </w:pPr>
    <w:rPr>
      <w:rFonts w:ascii="Arial" w:hAnsi="Arial"/>
    </w:rPr>
  </w:style>
  <w:style w:type="paragraph" w:customStyle="1" w:styleId="1156">
    <w:name w:val="Style Heading 22nd levelh22Header 2l2H2Heading 2 HiddenHead..."/>
    <w:basedOn w:val="4"/>
    <w:link w:val="1157"/>
    <w:qFormat/>
    <w:uiPriority w:val="0"/>
    <w:pPr>
      <w:spacing w:beforeLines="150" w:afterLines="100"/>
      <w:ind w:left="1286" w:hanging="1286"/>
    </w:pPr>
    <w:rPr>
      <w:rFonts w:ascii="新宋体" w:hAnsi="新宋体" w:eastAsia="新宋体"/>
      <w:sz w:val="24"/>
      <w:lang w:val="zh-CN"/>
    </w:rPr>
  </w:style>
  <w:style w:type="character" w:customStyle="1" w:styleId="1157">
    <w:name w:val="Style Heading 22nd levelh22Header 2l2H2Heading 2 HiddenHead... Char Char"/>
    <w:link w:val="1156"/>
    <w:qFormat/>
    <w:uiPriority w:val="0"/>
    <w:rPr>
      <w:rFonts w:ascii="新宋体" w:hAnsi="新宋体" w:eastAsia="新宋体"/>
      <w:b/>
      <w:bCs/>
      <w:kern w:val="2"/>
      <w:sz w:val="24"/>
      <w:szCs w:val="32"/>
      <w:lang w:val="zh-CN" w:eastAsia="zh-CN"/>
    </w:rPr>
  </w:style>
  <w:style w:type="paragraph" w:customStyle="1" w:styleId="1158">
    <w:name w:val="Style Heading 3h33rd levelH3Heading 3 - oldLevel 3 Headl3CT..."/>
    <w:basedOn w:val="5"/>
    <w:qFormat/>
    <w:uiPriority w:val="99"/>
    <w:pPr>
      <w:spacing w:beforeLines="150" w:afterLines="100" w:line="360" w:lineRule="auto"/>
      <w:ind w:left="720" w:hanging="720"/>
      <w:jc w:val="left"/>
    </w:pPr>
    <w:rPr>
      <w:rFonts w:ascii="新宋体" w:hAnsi="新宋体" w:eastAsia="新宋体" w:cs="宋体"/>
      <w:color w:val="000000"/>
      <w:sz w:val="24"/>
      <w:szCs w:val="20"/>
      <w:lang w:val="zh-CN"/>
    </w:rPr>
  </w:style>
  <w:style w:type="paragraph" w:customStyle="1" w:styleId="1159">
    <w:name w:val="Style Style Heading 1 + 小二 + 新宋体"/>
    <w:basedOn w:val="1153"/>
    <w:qFormat/>
    <w:uiPriority w:val="99"/>
    <w:rPr>
      <w:rFonts w:ascii="新宋体" w:hAnsi="新宋体" w:eastAsia="新宋体"/>
    </w:rPr>
  </w:style>
  <w:style w:type="paragraph" w:customStyle="1" w:styleId="1160">
    <w:name w:val="wx1"/>
    <w:basedOn w:val="1"/>
    <w:qFormat/>
    <w:uiPriority w:val="99"/>
    <w:pPr>
      <w:tabs>
        <w:tab w:val="left" w:pos="360"/>
      </w:tabs>
    </w:pPr>
    <w:rPr>
      <w:szCs w:val="20"/>
    </w:rPr>
  </w:style>
  <w:style w:type="paragraph" w:customStyle="1" w:styleId="1161">
    <w:name w:val="样式 正文缩进正文（首行缩进两字）ALT+Z表正文正文非缩进特点标题4特点 Char Char文2段1特点 ..."/>
    <w:basedOn w:val="20"/>
    <w:qFormat/>
    <w:uiPriority w:val="99"/>
    <w:pPr>
      <w:widowControl w:val="0"/>
      <w:spacing w:beforeLines="50" w:afterLines="50" w:line="360" w:lineRule="auto"/>
      <w:ind w:firstLine="480" w:firstLineChars="200"/>
      <w:jc w:val="both"/>
    </w:pPr>
    <w:rPr>
      <w:rFonts w:ascii="Arial" w:hAnsi="Arial" w:cs="宋体"/>
      <w:szCs w:val="24"/>
      <w:lang w:val="zh-CN"/>
    </w:rPr>
  </w:style>
  <w:style w:type="paragraph" w:customStyle="1" w:styleId="1162">
    <w:name w:val="_Style 32"/>
    <w:basedOn w:val="1"/>
    <w:next w:val="31"/>
    <w:qFormat/>
    <w:uiPriority w:val="99"/>
    <w:pPr>
      <w:widowControl/>
      <w:jc w:val="left"/>
    </w:pPr>
    <w:rPr>
      <w:rFonts w:ascii="Book Antiqua" w:hAnsi="Book Antiqua"/>
      <w:kern w:val="0"/>
      <w:sz w:val="20"/>
      <w:szCs w:val="20"/>
      <w:lang w:eastAsia="en-US"/>
    </w:rPr>
  </w:style>
  <w:style w:type="paragraph" w:customStyle="1" w:styleId="1163">
    <w:name w:val="Bulleted Diamond"/>
    <w:basedOn w:val="1"/>
    <w:qFormat/>
    <w:uiPriority w:val="99"/>
    <w:pPr>
      <w:widowControl/>
      <w:numPr>
        <w:ilvl w:val="0"/>
        <w:numId w:val="41"/>
      </w:numPr>
      <w:tabs>
        <w:tab w:val="left" w:pos="360"/>
        <w:tab w:val="left" w:pos="1890"/>
        <w:tab w:val="clear" w:pos="720"/>
      </w:tabs>
      <w:spacing w:before="60" w:after="60"/>
      <w:ind w:left="648" w:firstLine="0"/>
      <w:jc w:val="left"/>
    </w:pPr>
    <w:rPr>
      <w:rFonts w:ascii="Garamond" w:hAnsi="Garamond"/>
      <w:kern w:val="0"/>
      <w:szCs w:val="20"/>
      <w:lang w:eastAsia="en-US"/>
    </w:rPr>
  </w:style>
  <w:style w:type="paragraph" w:customStyle="1" w:styleId="1164">
    <w:name w:val="QuoteCenter"/>
    <w:basedOn w:val="1"/>
    <w:qFormat/>
    <w:uiPriority w:val="99"/>
    <w:pPr>
      <w:widowControl/>
      <w:spacing w:before="60"/>
      <w:ind w:left="1080" w:right="1080"/>
      <w:jc w:val="center"/>
    </w:pPr>
    <w:rPr>
      <w:rFonts w:ascii="Garamond" w:hAnsi="Garamond"/>
      <w:b/>
      <w:snapToGrid w:val="0"/>
      <w:kern w:val="0"/>
      <w:szCs w:val="20"/>
      <w:lang w:eastAsia="en-US"/>
    </w:rPr>
  </w:style>
  <w:style w:type="paragraph" w:customStyle="1" w:styleId="1165">
    <w:name w:val="_Style 27"/>
    <w:basedOn w:val="1"/>
    <w:next w:val="20"/>
    <w:qFormat/>
    <w:uiPriority w:val="99"/>
    <w:pPr>
      <w:spacing w:after="156" w:line="360" w:lineRule="auto"/>
      <w:ind w:firstLine="420" w:firstLineChars="200"/>
      <w:jc w:val="left"/>
    </w:pPr>
    <w:rPr>
      <w:szCs w:val="20"/>
    </w:rPr>
  </w:style>
  <w:style w:type="paragraph" w:customStyle="1" w:styleId="1166">
    <w:name w:val="PDG Bullet"/>
    <w:basedOn w:val="1"/>
    <w:qFormat/>
    <w:uiPriority w:val="99"/>
    <w:pPr>
      <w:widowControl/>
      <w:jc w:val="left"/>
    </w:pPr>
    <w:rPr>
      <w:kern w:val="0"/>
      <w:szCs w:val="20"/>
      <w:lang w:eastAsia="en-US"/>
    </w:rPr>
  </w:style>
  <w:style w:type="paragraph" w:customStyle="1" w:styleId="1167">
    <w:name w:val="Answer List Bullet One"/>
    <w:qFormat/>
    <w:uiPriority w:val="99"/>
    <w:pPr>
      <w:numPr>
        <w:ilvl w:val="0"/>
        <w:numId w:val="42"/>
      </w:numPr>
      <w:tabs>
        <w:tab w:val="left" w:pos="360"/>
        <w:tab w:val="left" w:pos="720"/>
        <w:tab w:val="clear" w:pos="840"/>
      </w:tabs>
      <w:spacing w:before="60" w:after="60"/>
      <w:ind w:left="0" w:firstLine="0"/>
    </w:pPr>
    <w:rPr>
      <w:rFonts w:ascii="Arial Narrow" w:hAnsi="Arial Narrow" w:eastAsia="Times New Roman" w:cs="Calibri"/>
      <w:color w:val="333399"/>
      <w:sz w:val="22"/>
      <w:lang w:val="en-US" w:eastAsia="en-US" w:bidi="ar-SA"/>
    </w:rPr>
  </w:style>
  <w:style w:type="paragraph" w:customStyle="1" w:styleId="1168">
    <w:name w:val="Bullets"/>
    <w:basedOn w:val="1"/>
    <w:qFormat/>
    <w:uiPriority w:val="99"/>
    <w:pPr>
      <w:widowControl/>
      <w:adjustRightInd w:val="0"/>
      <w:snapToGrid w:val="0"/>
      <w:spacing w:before="60" w:after="60"/>
    </w:pPr>
    <w:rPr>
      <w:kern w:val="0"/>
      <w:szCs w:val="20"/>
      <w:lang w:eastAsia="en-US"/>
    </w:rPr>
  </w:style>
  <w:style w:type="paragraph" w:customStyle="1" w:styleId="1169">
    <w:name w:val="Answer Text Char1 Char"/>
    <w:qFormat/>
    <w:uiPriority w:val="99"/>
    <w:pPr>
      <w:widowControl w:val="0"/>
      <w:shd w:val="clear" w:color="auto" w:fill="FFFFFF"/>
      <w:spacing w:before="60" w:after="60"/>
    </w:pPr>
    <w:rPr>
      <w:rFonts w:ascii="Arial Narrow" w:hAnsi="Arial Narrow" w:eastAsia="Times New Roman" w:cs="Calibri"/>
      <w:color w:val="333399"/>
      <w:sz w:val="22"/>
      <w:lang w:val="en-US" w:eastAsia="en-US" w:bidi="ar-SA"/>
    </w:rPr>
  </w:style>
  <w:style w:type="paragraph" w:customStyle="1" w:styleId="1170">
    <w:name w:val="BulletDiamond"/>
    <w:basedOn w:val="1"/>
    <w:qFormat/>
    <w:uiPriority w:val="99"/>
    <w:pPr>
      <w:widowControl/>
      <w:numPr>
        <w:ilvl w:val="0"/>
        <w:numId w:val="43"/>
      </w:numPr>
      <w:tabs>
        <w:tab w:val="left" w:pos="360"/>
        <w:tab w:val="left" w:pos="1080"/>
        <w:tab w:val="clear" w:pos="780"/>
      </w:tabs>
      <w:spacing w:before="60" w:after="60"/>
      <w:ind w:left="720" w:right="360" w:firstLine="0"/>
      <w:jc w:val="left"/>
    </w:pPr>
    <w:rPr>
      <w:rFonts w:ascii="Garamond" w:hAnsi="Garamond"/>
      <w:kern w:val="0"/>
      <w:szCs w:val="20"/>
      <w:lang w:eastAsia="en-US"/>
    </w:rPr>
  </w:style>
  <w:style w:type="paragraph" w:customStyle="1" w:styleId="1171">
    <w:name w:val="Prepared for"/>
    <w:basedOn w:val="1"/>
    <w:next w:val="1"/>
    <w:qFormat/>
    <w:uiPriority w:val="99"/>
    <w:pPr>
      <w:widowControl/>
      <w:spacing w:before="1320"/>
      <w:jc w:val="center"/>
    </w:pPr>
    <w:rPr>
      <w:rFonts w:ascii="Arial" w:hAnsi="Arial"/>
      <w:i/>
      <w:kern w:val="0"/>
      <w:sz w:val="20"/>
      <w:szCs w:val="20"/>
    </w:rPr>
  </w:style>
  <w:style w:type="paragraph" w:customStyle="1" w:styleId="1172">
    <w:name w:val="Company name"/>
    <w:basedOn w:val="1"/>
    <w:next w:val="1"/>
    <w:qFormat/>
    <w:uiPriority w:val="99"/>
    <w:pPr>
      <w:widowControl/>
      <w:jc w:val="center"/>
    </w:pPr>
    <w:rPr>
      <w:rFonts w:ascii="Arial" w:hAnsi="Arial"/>
      <w:kern w:val="0"/>
      <w:sz w:val="20"/>
      <w:szCs w:val="20"/>
    </w:rPr>
  </w:style>
  <w:style w:type="paragraph" w:customStyle="1" w:styleId="1173">
    <w:name w:val="EMC Name"/>
    <w:basedOn w:val="1"/>
    <w:qFormat/>
    <w:uiPriority w:val="99"/>
    <w:pPr>
      <w:widowControl/>
      <w:jc w:val="center"/>
    </w:pPr>
    <w:rPr>
      <w:rFonts w:ascii="Arial" w:hAnsi="Arial"/>
      <w:caps/>
      <w:kern w:val="0"/>
      <w:sz w:val="20"/>
      <w:szCs w:val="20"/>
    </w:rPr>
  </w:style>
  <w:style w:type="paragraph" w:customStyle="1" w:styleId="1174">
    <w:name w:val="章正文"/>
    <w:basedOn w:val="1"/>
    <w:qFormat/>
    <w:uiPriority w:val="99"/>
    <w:pPr>
      <w:spacing w:beforeLines="50" w:after="120" w:line="300" w:lineRule="auto"/>
      <w:ind w:firstLine="480"/>
    </w:pPr>
    <w:rPr>
      <w:rFonts w:ascii="Helvetica" w:hAnsi="Helvetica"/>
      <w:kern w:val="0"/>
    </w:rPr>
  </w:style>
  <w:style w:type="paragraph" w:customStyle="1" w:styleId="1175">
    <w:name w:val="Normal1"/>
    <w:basedOn w:val="1"/>
    <w:qFormat/>
    <w:uiPriority w:val="99"/>
    <w:pPr>
      <w:widowControl/>
      <w:overflowPunct w:val="0"/>
      <w:autoSpaceDE w:val="0"/>
      <w:autoSpaceDN w:val="0"/>
      <w:adjustRightInd w:val="0"/>
      <w:textAlignment w:val="baseline"/>
    </w:pPr>
    <w:rPr>
      <w:kern w:val="0"/>
      <w:szCs w:val="20"/>
    </w:rPr>
  </w:style>
  <w:style w:type="paragraph" w:customStyle="1" w:styleId="1176">
    <w:name w:val="CityStateZip"/>
    <w:basedOn w:val="1"/>
    <w:qFormat/>
    <w:uiPriority w:val="99"/>
    <w:pPr>
      <w:widowControl/>
      <w:jc w:val="center"/>
    </w:pPr>
    <w:rPr>
      <w:rFonts w:ascii="Arial" w:hAnsi="Arial"/>
      <w:kern w:val="0"/>
      <w:sz w:val="20"/>
      <w:szCs w:val="20"/>
    </w:rPr>
  </w:style>
  <w:style w:type="paragraph" w:customStyle="1" w:styleId="1177">
    <w:name w:val="Char Char Char Char Char Char Char Char"/>
    <w:basedOn w:val="1"/>
    <w:qFormat/>
    <w:uiPriority w:val="99"/>
    <w:pPr>
      <w:adjustRightInd w:val="0"/>
      <w:spacing w:line="360" w:lineRule="auto"/>
    </w:pPr>
    <w:rPr>
      <w:kern w:val="0"/>
      <w:szCs w:val="20"/>
    </w:rPr>
  </w:style>
  <w:style w:type="paragraph" w:customStyle="1" w:styleId="1178">
    <w:name w:val="Title Page"/>
    <w:basedOn w:val="1"/>
    <w:qFormat/>
    <w:uiPriority w:val="99"/>
    <w:pPr>
      <w:widowControl/>
      <w:tabs>
        <w:tab w:val="left" w:pos="8730"/>
      </w:tabs>
      <w:spacing w:after="200"/>
      <w:jc w:val="left"/>
    </w:pPr>
    <w:rPr>
      <w:rFonts w:ascii="Arial" w:hAnsi="Arial" w:cs="Arial"/>
      <w:bCs/>
      <w:i/>
      <w:kern w:val="0"/>
      <w:sz w:val="44"/>
      <w:szCs w:val="20"/>
      <w:lang w:eastAsia="en-US"/>
    </w:rPr>
  </w:style>
  <w:style w:type="paragraph" w:customStyle="1" w:styleId="1179">
    <w:name w:val="H1 Text"/>
    <w:basedOn w:val="1"/>
    <w:qFormat/>
    <w:uiPriority w:val="99"/>
    <w:pPr>
      <w:widowControl/>
      <w:tabs>
        <w:tab w:val="left" w:pos="360"/>
      </w:tabs>
      <w:spacing w:after="60" w:line="300" w:lineRule="exact"/>
      <w:ind w:left="360"/>
      <w:jc w:val="left"/>
    </w:pPr>
    <w:rPr>
      <w:rFonts w:ascii="Times" w:hAnsi="Times"/>
      <w:kern w:val="0"/>
      <w:sz w:val="22"/>
      <w:szCs w:val="20"/>
      <w:lang w:eastAsia="en-US"/>
    </w:rPr>
  </w:style>
  <w:style w:type="paragraph" w:customStyle="1" w:styleId="1180">
    <w:name w:val="H2 Text"/>
    <w:basedOn w:val="1"/>
    <w:qFormat/>
    <w:uiPriority w:val="99"/>
    <w:pPr>
      <w:widowControl/>
      <w:tabs>
        <w:tab w:val="left" w:pos="1080"/>
      </w:tabs>
      <w:spacing w:after="60"/>
      <w:ind w:left="810"/>
      <w:jc w:val="left"/>
    </w:pPr>
    <w:rPr>
      <w:rFonts w:ascii="Times" w:hAnsi="Times"/>
      <w:kern w:val="0"/>
      <w:sz w:val="22"/>
      <w:szCs w:val="20"/>
      <w:lang w:eastAsia="en-US"/>
    </w:rPr>
  </w:style>
  <w:style w:type="paragraph" w:customStyle="1" w:styleId="1181">
    <w:name w:val="Table Cell Text"/>
    <w:basedOn w:val="1"/>
    <w:qFormat/>
    <w:uiPriority w:val="99"/>
    <w:pPr>
      <w:spacing w:before="120" w:after="120"/>
      <w:jc w:val="left"/>
    </w:pPr>
    <w:rPr>
      <w:rFonts w:ascii="Arial" w:hAnsi="Arial" w:cs="Arial"/>
      <w:kern w:val="0"/>
      <w:sz w:val="18"/>
      <w:szCs w:val="20"/>
      <w:lang w:eastAsia="en-US"/>
    </w:rPr>
  </w:style>
  <w:style w:type="paragraph" w:customStyle="1" w:styleId="1182">
    <w:name w:val="H2 List Num cont"/>
    <w:basedOn w:val="1"/>
    <w:qFormat/>
    <w:uiPriority w:val="99"/>
    <w:pPr>
      <w:widowControl/>
      <w:numPr>
        <w:ilvl w:val="1"/>
        <w:numId w:val="44"/>
      </w:numPr>
      <w:tabs>
        <w:tab w:val="left" w:pos="360"/>
        <w:tab w:val="left" w:pos="1170"/>
        <w:tab w:val="clear" w:pos="1701"/>
      </w:tabs>
      <w:spacing w:after="60"/>
      <w:ind w:left="0" w:firstLine="0"/>
      <w:jc w:val="left"/>
    </w:pPr>
    <w:rPr>
      <w:rFonts w:ascii="Times" w:hAnsi="Times"/>
      <w:bCs/>
      <w:iCs/>
      <w:kern w:val="0"/>
      <w:sz w:val="22"/>
      <w:szCs w:val="20"/>
      <w:lang w:eastAsia="en-US"/>
    </w:rPr>
  </w:style>
  <w:style w:type="paragraph" w:customStyle="1" w:styleId="1183">
    <w:name w:val="Table Bullet 1"/>
    <w:basedOn w:val="1"/>
    <w:qFormat/>
    <w:uiPriority w:val="99"/>
    <w:pPr>
      <w:widowControl/>
      <w:numPr>
        <w:ilvl w:val="0"/>
        <w:numId w:val="45"/>
      </w:numPr>
      <w:tabs>
        <w:tab w:val="left" w:pos="360"/>
        <w:tab w:val="clear" w:pos="1080"/>
      </w:tabs>
      <w:spacing w:before="60"/>
      <w:ind w:left="0" w:firstLine="0"/>
      <w:jc w:val="left"/>
    </w:pPr>
    <w:rPr>
      <w:rFonts w:ascii="Arial" w:hAnsi="Arial"/>
      <w:i/>
      <w:snapToGrid w:val="0"/>
      <w:color w:val="000000"/>
      <w:kern w:val="0"/>
      <w:sz w:val="18"/>
      <w:szCs w:val="20"/>
      <w:lang w:eastAsia="en-US"/>
    </w:rPr>
  </w:style>
  <w:style w:type="paragraph" w:customStyle="1" w:styleId="1184">
    <w:name w:val="Table Caption"/>
    <w:basedOn w:val="9"/>
    <w:next w:val="1"/>
    <w:qFormat/>
    <w:uiPriority w:val="99"/>
    <w:pPr>
      <w:widowControl/>
      <w:numPr>
        <w:ilvl w:val="0"/>
        <w:numId w:val="0"/>
      </w:numPr>
      <w:tabs>
        <w:tab w:val="left" w:pos="360"/>
        <w:tab w:val="left" w:pos="4680"/>
      </w:tabs>
      <w:spacing w:before="240" w:after="60"/>
      <w:ind w:left="4680" w:hanging="360"/>
      <w:jc w:val="center"/>
    </w:pPr>
    <w:rPr>
      <w:rFonts w:cs="Times New Roman"/>
      <w:b w:val="0"/>
      <w:kern w:val="0"/>
      <w:sz w:val="22"/>
      <w:szCs w:val="20"/>
      <w:lang w:val="zh-CN" w:eastAsia="en-US"/>
    </w:rPr>
  </w:style>
  <w:style w:type="paragraph" w:customStyle="1" w:styleId="1185">
    <w:name w:val="Table Cell Head"/>
    <w:basedOn w:val="1"/>
    <w:next w:val="1181"/>
    <w:qFormat/>
    <w:uiPriority w:val="99"/>
    <w:pPr>
      <w:widowControl/>
      <w:tabs>
        <w:tab w:val="left" w:pos="360"/>
        <w:tab w:val="left" w:pos="720"/>
        <w:tab w:val="left" w:pos="1440"/>
        <w:tab w:val="left" w:pos="2160"/>
        <w:tab w:val="left" w:pos="2880"/>
        <w:tab w:val="left" w:pos="3600"/>
        <w:tab w:val="right" w:pos="7110"/>
        <w:tab w:val="left" w:pos="7920"/>
        <w:tab w:val="left" w:pos="8640"/>
      </w:tabs>
      <w:spacing w:before="120" w:after="120"/>
      <w:ind w:firstLine="36"/>
      <w:jc w:val="left"/>
    </w:pPr>
    <w:rPr>
      <w:rFonts w:ascii="Arial" w:hAnsi="Arial"/>
      <w:b/>
      <w:bCs/>
      <w:color w:val="000000"/>
      <w:kern w:val="0"/>
      <w:sz w:val="18"/>
      <w:szCs w:val="20"/>
      <w:lang w:eastAsia="en-US"/>
    </w:rPr>
  </w:style>
  <w:style w:type="paragraph" w:customStyle="1" w:styleId="1186">
    <w:name w:val="Table Head"/>
    <w:basedOn w:val="1"/>
    <w:next w:val="1"/>
    <w:qFormat/>
    <w:uiPriority w:val="99"/>
    <w:pPr>
      <w:widowControl/>
      <w:tabs>
        <w:tab w:val="left" w:pos="360"/>
        <w:tab w:val="left" w:pos="720"/>
        <w:tab w:val="left" w:pos="1440"/>
        <w:tab w:val="left" w:pos="2160"/>
        <w:tab w:val="left" w:pos="2880"/>
        <w:tab w:val="left" w:pos="3600"/>
        <w:tab w:val="right" w:pos="7110"/>
        <w:tab w:val="left" w:pos="7920"/>
        <w:tab w:val="left" w:pos="8640"/>
      </w:tabs>
      <w:spacing w:before="120" w:after="120"/>
      <w:jc w:val="left"/>
    </w:pPr>
    <w:rPr>
      <w:rFonts w:ascii="Arial" w:hAnsi="Arial"/>
      <w:b/>
      <w:bCs/>
      <w:kern w:val="0"/>
      <w:sz w:val="20"/>
      <w:szCs w:val="20"/>
      <w:lang w:eastAsia="en-US"/>
    </w:rPr>
  </w:style>
  <w:style w:type="paragraph" w:customStyle="1" w:styleId="1187">
    <w:name w:val="Important"/>
    <w:qFormat/>
    <w:uiPriority w:val="99"/>
    <w:pPr>
      <w:numPr>
        <w:ilvl w:val="0"/>
        <w:numId w:val="46"/>
      </w:numPr>
      <w:tabs>
        <w:tab w:val="left" w:pos="144"/>
        <w:tab w:val="left" w:pos="360"/>
        <w:tab w:val="clear" w:pos="-360"/>
      </w:tabs>
      <w:ind w:firstLine="0"/>
    </w:pPr>
    <w:rPr>
      <w:rFonts w:ascii="Times New Roman" w:hAnsi="Times New Roman" w:eastAsia="宋体" w:cs="Calibri"/>
      <w:sz w:val="22"/>
      <w:szCs w:val="16"/>
      <w:lang w:val="en-US" w:eastAsia="en-US" w:bidi="ar-SA"/>
    </w:rPr>
  </w:style>
  <w:style w:type="character" w:customStyle="1" w:styleId="1188">
    <w:name w:val="缺省文本 Char"/>
    <w:link w:val="749"/>
    <w:qFormat/>
    <w:uiPriority w:val="0"/>
    <w:rPr>
      <w:sz w:val="24"/>
    </w:rPr>
  </w:style>
  <w:style w:type="character" w:customStyle="1" w:styleId="1189">
    <w:name w:val="正文2 Char"/>
    <w:link w:val="143"/>
    <w:qFormat/>
    <w:uiPriority w:val="0"/>
    <w:rPr>
      <w:kern w:val="2"/>
      <w:sz w:val="24"/>
    </w:rPr>
  </w:style>
  <w:style w:type="character" w:customStyle="1" w:styleId="1190">
    <w:name w:val="Default Char"/>
    <w:link w:val="146"/>
    <w:qFormat/>
    <w:uiPriority w:val="0"/>
    <w:rPr>
      <w:color w:val="000000"/>
      <w:sz w:val="24"/>
      <w:szCs w:val="24"/>
    </w:rPr>
  </w:style>
  <w:style w:type="paragraph" w:customStyle="1" w:styleId="1191">
    <w:name w:val="表格2"/>
    <w:basedOn w:val="1"/>
    <w:qFormat/>
    <w:uiPriority w:val="99"/>
    <w:pPr>
      <w:spacing w:beforeLines="20" w:afterLines="20"/>
    </w:pPr>
    <w:rPr>
      <w:rFonts w:hAnsi="宋体"/>
    </w:rPr>
  </w:style>
  <w:style w:type="paragraph" w:customStyle="1" w:styleId="1192">
    <w:name w:val="小点说明"/>
    <w:basedOn w:val="1"/>
    <w:qFormat/>
    <w:uiPriority w:val="99"/>
    <w:pPr>
      <w:numPr>
        <w:ilvl w:val="0"/>
        <w:numId w:val="47"/>
      </w:numPr>
      <w:tabs>
        <w:tab w:val="left" w:pos="360"/>
        <w:tab w:val="clear" w:pos="820"/>
      </w:tabs>
      <w:adjustRightInd w:val="0"/>
      <w:snapToGrid w:val="0"/>
      <w:spacing w:line="360" w:lineRule="auto"/>
      <w:ind w:left="0" w:firstLine="0"/>
    </w:pPr>
    <w:rPr>
      <w:rFonts w:hAnsi="Arial"/>
      <w:kern w:val="0"/>
      <w:szCs w:val="20"/>
    </w:rPr>
  </w:style>
  <w:style w:type="paragraph" w:customStyle="1" w:styleId="1193">
    <w:name w:val="次小点说明"/>
    <w:basedOn w:val="1"/>
    <w:qFormat/>
    <w:uiPriority w:val="99"/>
    <w:pPr>
      <w:tabs>
        <w:tab w:val="left" w:pos="-632"/>
      </w:tabs>
      <w:adjustRightInd w:val="0"/>
      <w:snapToGrid w:val="0"/>
      <w:spacing w:line="360" w:lineRule="auto"/>
      <w:ind w:left="-632" w:hanging="420"/>
    </w:pPr>
  </w:style>
  <w:style w:type="paragraph" w:customStyle="1" w:styleId="1194">
    <w:name w:val="样式 标题 3sect1.2.3Level 3 HeadH3Titre3章标题1Heading 3 - oldhe..."/>
    <w:basedOn w:val="5"/>
    <w:qFormat/>
    <w:uiPriority w:val="99"/>
    <w:pPr>
      <w:keepNext w:val="0"/>
      <w:keepLines w:val="0"/>
      <w:numPr>
        <w:numId w:val="0"/>
      </w:numPr>
      <w:tabs>
        <w:tab w:val="left" w:pos="0"/>
        <w:tab w:val="left" w:pos="840"/>
      </w:tabs>
      <w:adjustRightInd w:val="0"/>
      <w:spacing w:before="468" w:after="312" w:line="360" w:lineRule="auto"/>
      <w:ind w:left="840" w:hanging="420"/>
      <w:textAlignment w:val="baseline"/>
    </w:pPr>
    <w:rPr>
      <w:rFonts w:ascii="宋体" w:hAnsi="宋体" w:cs="宋体"/>
      <w:sz w:val="24"/>
      <w:szCs w:val="24"/>
      <w:lang w:val="zh-CN"/>
    </w:rPr>
  </w:style>
  <w:style w:type="paragraph" w:customStyle="1" w:styleId="1195">
    <w:name w:val="正文表标题"/>
    <w:next w:val="1"/>
    <w:qFormat/>
    <w:uiPriority w:val="99"/>
    <w:pPr>
      <w:tabs>
        <w:tab w:val="left" w:pos="-632"/>
      </w:tabs>
      <w:ind w:left="-632" w:hanging="420"/>
      <w:jc w:val="center"/>
    </w:pPr>
    <w:rPr>
      <w:rFonts w:ascii="黑体" w:hAnsi="Times New Roman" w:eastAsia="黑体" w:cs="Calibri"/>
      <w:sz w:val="21"/>
      <w:lang w:val="en-US" w:eastAsia="zh-CN" w:bidi="ar-SA"/>
    </w:rPr>
  </w:style>
  <w:style w:type="paragraph" w:customStyle="1" w:styleId="1196">
    <w:name w:val="样式 目录 3 + 左侧:  4 字符"/>
    <w:basedOn w:val="39"/>
    <w:qFormat/>
    <w:uiPriority w:val="99"/>
    <w:pPr>
      <w:tabs>
        <w:tab w:val="right" w:leader="dot" w:pos="8296"/>
      </w:tabs>
      <w:spacing w:line="360" w:lineRule="auto"/>
      <w:ind w:left="840" w:leftChars="400"/>
    </w:pPr>
    <w:rPr>
      <w:rFonts w:ascii="Times New Roman" w:hAnsi="Times New Roman" w:cs="宋体"/>
      <w:i/>
      <w:sz w:val="21"/>
    </w:rPr>
  </w:style>
  <w:style w:type="paragraph" w:customStyle="1" w:styleId="1197">
    <w:name w:val="文本块1"/>
    <w:basedOn w:val="1"/>
    <w:qFormat/>
    <w:uiPriority w:val="99"/>
    <w:pPr>
      <w:autoSpaceDE w:val="0"/>
      <w:autoSpaceDN w:val="0"/>
      <w:adjustRightInd w:val="0"/>
      <w:jc w:val="left"/>
    </w:pPr>
    <w:rPr>
      <w:kern w:val="0"/>
    </w:rPr>
  </w:style>
  <w:style w:type="paragraph" w:customStyle="1" w:styleId="1198">
    <w:name w:val="样式 目录 2 + 左侧:  2 字符"/>
    <w:basedOn w:val="64"/>
    <w:qFormat/>
    <w:uiPriority w:val="99"/>
    <w:pPr>
      <w:tabs>
        <w:tab w:val="right" w:leader="dot" w:pos="8302"/>
      </w:tabs>
      <w:spacing w:line="360" w:lineRule="auto"/>
      <w:ind w:left="420" w:leftChars="200"/>
      <w:jc w:val="both"/>
    </w:pPr>
    <w:rPr>
      <w:rFonts w:ascii="Times New Roman" w:hAnsi="Times New Roman" w:cs="宋体"/>
      <w:sz w:val="21"/>
    </w:rPr>
  </w:style>
  <w:style w:type="paragraph" w:customStyle="1" w:styleId="1199">
    <w:name w:val="正文文字缩进2字"/>
    <w:basedOn w:val="31"/>
    <w:qFormat/>
    <w:uiPriority w:val="99"/>
    <w:pPr>
      <w:spacing w:before="60" w:after="60" w:line="360" w:lineRule="auto"/>
      <w:ind w:left="420" w:leftChars="200" w:firstLine="480" w:firstLineChars="200"/>
    </w:pPr>
    <w:rPr>
      <w:lang w:val="zh-CN"/>
    </w:rPr>
  </w:style>
  <w:style w:type="paragraph" w:customStyle="1" w:styleId="1200">
    <w:name w:val="Z5"/>
    <w:basedOn w:val="1"/>
    <w:next w:val="1"/>
    <w:qFormat/>
    <w:uiPriority w:val="99"/>
    <w:pPr>
      <w:numPr>
        <w:ilvl w:val="4"/>
        <w:numId w:val="40"/>
      </w:numPr>
      <w:tabs>
        <w:tab w:val="left" w:pos="360"/>
        <w:tab w:val="left" w:pos="2580"/>
        <w:tab w:val="left" w:pos="3240"/>
        <w:tab w:val="clear" w:pos="2100"/>
      </w:tabs>
      <w:spacing w:before="240"/>
      <w:ind w:left="0" w:firstLine="0"/>
      <w:outlineLvl w:val="4"/>
    </w:pPr>
    <w:rPr>
      <w:rFonts w:ascii="Tahoma" w:hAnsi="Tahoma" w:eastAsia="幼圆"/>
    </w:rPr>
  </w:style>
  <w:style w:type="paragraph" w:customStyle="1" w:styleId="1201">
    <w:name w:val="仿宋正文"/>
    <w:basedOn w:val="1"/>
    <w:qFormat/>
    <w:uiPriority w:val="99"/>
    <w:pPr>
      <w:tabs>
        <w:tab w:val="left" w:pos="1620"/>
      </w:tabs>
      <w:spacing w:after="156" w:line="360" w:lineRule="auto"/>
      <w:ind w:firstLine="482" w:firstLineChars="200"/>
    </w:pPr>
    <w:rPr>
      <w:rFonts w:ascii="仿宋_GB2312" w:hAnsi="仿宋_GB2312" w:eastAsia="仿宋_GB2312"/>
      <w:b/>
    </w:rPr>
  </w:style>
  <w:style w:type="character" w:customStyle="1" w:styleId="1202">
    <w:name w:val="段落 Char"/>
    <w:qFormat/>
    <w:uiPriority w:val="0"/>
    <w:rPr>
      <w:rFonts w:ascii="Calibri" w:hAnsi="Calibri" w:eastAsia="仿宋_GB2312"/>
      <w:sz w:val="24"/>
    </w:rPr>
  </w:style>
  <w:style w:type="paragraph" w:customStyle="1" w:styleId="1203">
    <w:name w:val="def正文"/>
    <w:basedOn w:val="31"/>
    <w:link w:val="1204"/>
    <w:qFormat/>
    <w:uiPriority w:val="0"/>
    <w:pPr>
      <w:widowControl/>
      <w:spacing w:after="0" w:line="276" w:lineRule="auto"/>
      <w:jc w:val="center"/>
    </w:pPr>
    <w:rPr>
      <w:szCs w:val="21"/>
      <w:lang w:val="zh-CN"/>
    </w:rPr>
  </w:style>
  <w:style w:type="character" w:customStyle="1" w:styleId="1204">
    <w:name w:val="def正文 Char"/>
    <w:link w:val="1203"/>
    <w:qFormat/>
    <w:uiPriority w:val="0"/>
    <w:rPr>
      <w:kern w:val="2"/>
      <w:sz w:val="21"/>
      <w:szCs w:val="21"/>
      <w:lang w:val="zh-CN" w:eastAsia="zh-CN"/>
    </w:rPr>
  </w:style>
  <w:style w:type="paragraph" w:customStyle="1" w:styleId="1205">
    <w:name w:val="样式 正文文本缩进 2 + Century Gothic 四号 行距: 多倍行距 1.75 字行"/>
    <w:basedOn w:val="1"/>
    <w:qFormat/>
    <w:uiPriority w:val="99"/>
    <w:pPr>
      <w:adjustRightInd w:val="0"/>
      <w:snapToGrid w:val="0"/>
      <w:spacing w:line="396" w:lineRule="auto"/>
      <w:ind w:firstLine="207" w:firstLineChars="207"/>
    </w:pPr>
    <w:rPr>
      <w:rFonts w:ascii="Century Gothic" w:cs="宋体"/>
      <w:sz w:val="28"/>
      <w:szCs w:val="20"/>
    </w:rPr>
  </w:style>
  <w:style w:type="paragraph" w:customStyle="1" w:styleId="1206">
    <w:name w:val="正文格式"/>
    <w:basedOn w:val="1"/>
    <w:link w:val="1207"/>
    <w:qFormat/>
    <w:uiPriority w:val="0"/>
    <w:pPr>
      <w:widowControl/>
      <w:adjustRightInd w:val="0"/>
      <w:snapToGrid w:val="0"/>
      <w:spacing w:line="360" w:lineRule="atLeast"/>
      <w:ind w:firstLine="482"/>
      <w:textAlignment w:val="baseline"/>
    </w:pPr>
    <w:rPr>
      <w:rFonts w:hAnsi="宋体"/>
      <w:kern w:val="0"/>
      <w:szCs w:val="20"/>
      <w:lang w:val="zh-CN"/>
    </w:rPr>
  </w:style>
  <w:style w:type="character" w:customStyle="1" w:styleId="1207">
    <w:name w:val="正文格式 Char"/>
    <w:link w:val="1206"/>
    <w:qFormat/>
    <w:uiPriority w:val="0"/>
    <w:rPr>
      <w:rFonts w:ascii="宋体" w:hAnsi="宋体"/>
      <w:sz w:val="24"/>
      <w:lang w:val="zh-CN" w:eastAsia="zh-CN"/>
    </w:rPr>
  </w:style>
  <w:style w:type="paragraph" w:customStyle="1" w:styleId="1208">
    <w:name w:val="Item Step in Table"/>
    <w:link w:val="1209"/>
    <w:qFormat/>
    <w:uiPriority w:val="99"/>
    <w:pPr>
      <w:tabs>
        <w:tab w:val="left" w:pos="397"/>
      </w:tabs>
      <w:spacing w:before="40" w:after="40"/>
      <w:ind w:left="397" w:hanging="397"/>
      <w:jc w:val="both"/>
    </w:pPr>
    <w:rPr>
      <w:rFonts w:ascii="Arial" w:hAnsi="Arial" w:eastAsia="宋体" w:cs="Times New Roman"/>
      <w:sz w:val="18"/>
      <w:szCs w:val="18"/>
      <w:lang w:val="en-US" w:eastAsia="zh-CN" w:bidi="ar-SA"/>
    </w:rPr>
  </w:style>
  <w:style w:type="character" w:customStyle="1" w:styleId="1209">
    <w:name w:val="Item Step in Table Char"/>
    <w:link w:val="1208"/>
    <w:qFormat/>
    <w:uiPriority w:val="99"/>
    <w:rPr>
      <w:rFonts w:ascii="Arial" w:hAnsi="Arial"/>
      <w:sz w:val="18"/>
      <w:szCs w:val="18"/>
    </w:rPr>
  </w:style>
  <w:style w:type="character" w:customStyle="1" w:styleId="1210">
    <w:name w:val="着重 Char"/>
    <w:qFormat/>
    <w:uiPriority w:val="0"/>
    <w:rPr>
      <w:rFonts w:ascii="宋体" w:hAnsi="宋体"/>
      <w:b/>
      <w:bCs/>
      <w:kern w:val="2"/>
      <w:sz w:val="24"/>
      <w:szCs w:val="24"/>
      <w:u w:val="single"/>
      <w:lang w:val="zh-CN" w:eastAsia="zh-CN"/>
    </w:rPr>
  </w:style>
  <w:style w:type="paragraph" w:customStyle="1" w:styleId="1211">
    <w:name w:val="Char Char1 Char Char Char"/>
    <w:basedOn w:val="24"/>
    <w:qFormat/>
    <w:uiPriority w:val="0"/>
    <w:rPr>
      <w:rFonts w:ascii="Tahoma" w:hAnsi="Tahoma"/>
      <w:lang w:val="zh-CN"/>
    </w:rPr>
  </w:style>
  <w:style w:type="paragraph" w:customStyle="1" w:styleId="1212">
    <w:name w:val="Char Char1 Char Char2 Char Char"/>
    <w:basedOn w:val="1"/>
    <w:qFormat/>
    <w:uiPriority w:val="0"/>
    <w:pPr>
      <w:widowControl/>
      <w:spacing w:after="160" w:line="240" w:lineRule="exact"/>
      <w:jc w:val="left"/>
    </w:pPr>
    <w:rPr>
      <w:rFonts w:ascii="Verdana" w:hAnsi="Verdana" w:eastAsia="方正仿宋简体"/>
      <w:kern w:val="0"/>
      <w:sz w:val="20"/>
      <w:szCs w:val="20"/>
      <w:lang w:eastAsia="en-US"/>
    </w:rPr>
  </w:style>
  <w:style w:type="character" w:customStyle="1" w:styleId="1213">
    <w:name w:val="表格 Char"/>
    <w:qFormat/>
    <w:uiPriority w:val="0"/>
    <w:rPr>
      <w:rFonts w:ascii="宋体" w:hAnsi="宋体" w:cs="宋体"/>
      <w:bCs/>
      <w:sz w:val="21"/>
      <w:szCs w:val="22"/>
    </w:rPr>
  </w:style>
  <w:style w:type="character" w:customStyle="1" w:styleId="1214">
    <w:name w:val="Table Text Char1"/>
    <w:qFormat/>
    <w:locked/>
    <w:uiPriority w:val="0"/>
    <w:rPr>
      <w:rFonts w:ascii="Arial" w:hAnsi="Arial"/>
      <w:sz w:val="18"/>
      <w:lang w:eastAsia="en-US"/>
    </w:rPr>
  </w:style>
  <w:style w:type="character" w:customStyle="1" w:styleId="1215">
    <w:name w:val="Item List in Table Char"/>
    <w:link w:val="351"/>
    <w:qFormat/>
    <w:locked/>
    <w:uiPriority w:val="0"/>
    <w:rPr>
      <w:rFonts w:ascii="Calibri" w:hAnsi="Calibri"/>
      <w:sz w:val="24"/>
      <w:szCs w:val="24"/>
    </w:rPr>
  </w:style>
  <w:style w:type="paragraph" w:customStyle="1" w:styleId="1216">
    <w:name w:val="Table Text Char Char Char Char Char Char1"/>
    <w:qFormat/>
    <w:uiPriority w:val="0"/>
    <w:pPr>
      <w:snapToGrid w:val="0"/>
      <w:spacing w:before="80" w:after="80"/>
    </w:pPr>
    <w:rPr>
      <w:rFonts w:ascii="Arial" w:hAnsi="Arial" w:eastAsia="宋体" w:cs="Arial"/>
      <w:sz w:val="18"/>
      <w:szCs w:val="21"/>
      <w:lang w:val="en-US" w:eastAsia="zh-CN" w:bidi="ar-SA"/>
    </w:rPr>
  </w:style>
  <w:style w:type="paragraph" w:customStyle="1" w:styleId="1217">
    <w:name w:val="phead"/>
    <w:basedOn w:val="1"/>
    <w:qFormat/>
    <w:uiPriority w:val="0"/>
    <w:pPr>
      <w:widowControl/>
      <w:tabs>
        <w:tab w:val="left" w:pos="720"/>
      </w:tabs>
      <w:spacing w:before="100" w:beforeAutospacing="1" w:after="100" w:afterAutospacing="1"/>
      <w:jc w:val="left"/>
    </w:pPr>
    <w:rPr>
      <w:rFonts w:ascii="Verdana" w:hAnsi="Verdana" w:cs="宋体"/>
      <w:color w:val="000000"/>
      <w:kern w:val="0"/>
      <w:sz w:val="20"/>
      <w:szCs w:val="20"/>
    </w:rPr>
  </w:style>
  <w:style w:type="paragraph" w:customStyle="1" w:styleId="1218">
    <w:name w:val="Char Char Char Char Char Char Char Char Char Char Char Char Char Char Char Char Char Char Char"/>
    <w:basedOn w:val="1"/>
    <w:qFormat/>
    <w:uiPriority w:val="0"/>
    <w:pPr>
      <w:tabs>
        <w:tab w:val="left" w:pos="720"/>
        <w:tab w:val="left" w:pos="907"/>
      </w:tabs>
      <w:ind w:left="907" w:hanging="453"/>
    </w:pPr>
  </w:style>
  <w:style w:type="paragraph" w:customStyle="1" w:styleId="1219">
    <w:name w:val="数字标题1"/>
    <w:basedOn w:val="3"/>
    <w:next w:val="1"/>
    <w:qFormat/>
    <w:uiPriority w:val="0"/>
    <w:pPr>
      <w:pageBreakBefore/>
      <w:numPr>
        <w:numId w:val="0"/>
      </w:numPr>
      <w:overflowPunct w:val="0"/>
      <w:spacing w:before="468" w:after="468" w:line="360" w:lineRule="auto"/>
      <w:ind w:firstLine="241" w:firstLineChars="100"/>
    </w:pPr>
    <w:rPr>
      <w:rFonts w:ascii="宋体" w:hAnsi="宋体"/>
      <w:bCs/>
      <w:color w:val="auto"/>
      <w:szCs w:val="24"/>
      <w:lang w:val="zh-CN"/>
    </w:rPr>
  </w:style>
  <w:style w:type="paragraph" w:customStyle="1" w:styleId="1220">
    <w:name w:val="数字标题4"/>
    <w:basedOn w:val="6"/>
    <w:qFormat/>
    <w:uiPriority w:val="0"/>
    <w:pPr>
      <w:numPr>
        <w:ilvl w:val="4"/>
        <w:numId w:val="42"/>
      </w:numPr>
      <w:tabs>
        <w:tab w:val="left" w:pos="360"/>
        <w:tab w:val="left" w:pos="840"/>
        <w:tab w:val="left" w:pos="3360"/>
        <w:tab w:val="clear" w:pos="2520"/>
      </w:tabs>
      <w:spacing w:before="240" w:line="374" w:lineRule="auto"/>
      <w:ind w:left="0" w:firstLine="0"/>
      <w:jc w:val="left"/>
    </w:pPr>
    <w:rPr>
      <w:rFonts w:ascii="宋体" w:hAnsi="宋体" w:cs="Times New Roman"/>
      <w:color w:val="auto"/>
      <w:lang w:val="zh-CN"/>
    </w:rPr>
  </w:style>
  <w:style w:type="paragraph" w:customStyle="1" w:styleId="1221">
    <w:name w:val="数字标题2"/>
    <w:basedOn w:val="4"/>
    <w:next w:val="1"/>
    <w:qFormat/>
    <w:uiPriority w:val="0"/>
    <w:pPr>
      <w:numPr>
        <w:numId w:val="0"/>
      </w:numPr>
      <w:spacing w:before="0" w:after="0" w:line="415" w:lineRule="auto"/>
    </w:pPr>
    <w:rPr>
      <w:rFonts w:ascii="宋体" w:hAnsi="宋体"/>
      <w:sz w:val="24"/>
      <w:szCs w:val="24"/>
      <w:lang w:val="zh-CN"/>
    </w:rPr>
  </w:style>
  <w:style w:type="paragraph" w:customStyle="1" w:styleId="1222">
    <w:name w:val="数字标题3"/>
    <w:basedOn w:val="5"/>
    <w:next w:val="1"/>
    <w:qFormat/>
    <w:uiPriority w:val="0"/>
    <w:pPr>
      <w:numPr>
        <w:numId w:val="0"/>
      </w:numPr>
      <w:spacing w:beforeLines="50" w:afterLines="50" w:line="360" w:lineRule="auto"/>
      <w:ind w:firstLine="422" w:firstLineChars="200"/>
    </w:pPr>
    <w:rPr>
      <w:rFonts w:ascii="宋体" w:hAnsi="宋体"/>
      <w:sz w:val="21"/>
      <w:szCs w:val="21"/>
      <w:lang w:val="zh-CN"/>
    </w:rPr>
  </w:style>
  <w:style w:type="paragraph" w:customStyle="1" w:styleId="1223">
    <w:name w:val="数字标题5"/>
    <w:basedOn w:val="7"/>
    <w:next w:val="1"/>
    <w:qFormat/>
    <w:uiPriority w:val="0"/>
    <w:pPr>
      <w:numPr>
        <w:ilvl w:val="5"/>
        <w:numId w:val="42"/>
      </w:numPr>
      <w:tabs>
        <w:tab w:val="left" w:pos="360"/>
        <w:tab w:val="left" w:pos="840"/>
        <w:tab w:val="left" w:pos="1440"/>
        <w:tab w:val="clear" w:pos="2940"/>
      </w:tabs>
      <w:spacing w:before="156" w:after="156" w:line="374" w:lineRule="auto"/>
      <w:ind w:left="1440" w:firstLine="0"/>
    </w:pPr>
    <w:rPr>
      <w:rFonts w:ascii="Times New Roman" w:hAnsi="Times New Roman"/>
      <w:sz w:val="28"/>
      <w:lang w:val="zh-CN"/>
    </w:rPr>
  </w:style>
  <w:style w:type="paragraph" w:customStyle="1" w:styleId="1224">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1225">
    <w:name w:val="数字标题6"/>
    <w:basedOn w:val="8"/>
    <w:next w:val="1"/>
    <w:qFormat/>
    <w:uiPriority w:val="0"/>
    <w:pPr>
      <w:numPr>
        <w:numId w:val="0"/>
      </w:numPr>
      <w:spacing w:after="0" w:line="319" w:lineRule="auto"/>
      <w:ind w:left="3002" w:hanging="420"/>
    </w:pPr>
    <w:rPr>
      <w:rFonts w:ascii="Times New Roman" w:hAnsi="Times New Roman"/>
      <w:i/>
      <w:lang w:val="zh-CN"/>
    </w:rPr>
  </w:style>
  <w:style w:type="paragraph" w:customStyle="1" w:styleId="1226">
    <w:name w:val="默认段落字体 Para Char Char Char Char Char Char1 Char Char Char"/>
    <w:basedOn w:val="1"/>
    <w:qFormat/>
    <w:uiPriority w:val="99"/>
  </w:style>
  <w:style w:type="paragraph" w:customStyle="1" w:styleId="1227">
    <w:name w:val="C3+图纸标题"/>
    <w:link w:val="1228"/>
    <w:qFormat/>
    <w:uiPriority w:val="0"/>
    <w:pPr>
      <w:adjustRightInd w:val="0"/>
      <w:snapToGrid w:val="0"/>
      <w:spacing w:beforeLines="50" w:afterLines="50" w:line="240" w:lineRule="atLeast"/>
      <w:jc w:val="center"/>
    </w:pPr>
    <w:rPr>
      <w:rFonts w:ascii="Arial" w:hAnsi="Arial" w:eastAsia="黑体" w:cs="Times New Roman"/>
      <w:kern w:val="2"/>
      <w:sz w:val="24"/>
      <w:szCs w:val="24"/>
      <w:lang w:val="en-US" w:eastAsia="zh-CN" w:bidi="ar-SA"/>
    </w:rPr>
  </w:style>
  <w:style w:type="character" w:customStyle="1" w:styleId="1228">
    <w:name w:val="C3+图纸标题 Char"/>
    <w:link w:val="1227"/>
    <w:qFormat/>
    <w:locked/>
    <w:uiPriority w:val="0"/>
    <w:rPr>
      <w:rFonts w:ascii="Arial" w:hAnsi="Arial" w:eastAsia="黑体"/>
      <w:kern w:val="2"/>
      <w:sz w:val="24"/>
      <w:szCs w:val="24"/>
    </w:rPr>
  </w:style>
  <w:style w:type="paragraph" w:customStyle="1" w:styleId="1229">
    <w:name w:val="C3+表格"/>
    <w:link w:val="1230"/>
    <w:qFormat/>
    <w:uiPriority w:val="0"/>
    <w:pPr>
      <w:adjustRightInd w:val="0"/>
      <w:snapToGrid w:val="0"/>
      <w:spacing w:line="240" w:lineRule="atLeast"/>
      <w:jc w:val="center"/>
    </w:pPr>
    <w:rPr>
      <w:rFonts w:ascii="Arial" w:hAnsi="Arial" w:eastAsia="黑体" w:cs="Times New Roman"/>
      <w:kern w:val="2"/>
      <w:sz w:val="18"/>
      <w:lang w:val="en-US" w:eastAsia="zh-CN" w:bidi="ar-SA"/>
    </w:rPr>
  </w:style>
  <w:style w:type="character" w:customStyle="1" w:styleId="1230">
    <w:name w:val="C3+表格 Char1"/>
    <w:link w:val="1229"/>
    <w:qFormat/>
    <w:locked/>
    <w:uiPriority w:val="0"/>
    <w:rPr>
      <w:rFonts w:ascii="Arial" w:hAnsi="Arial" w:eastAsia="黑体"/>
      <w:kern w:val="2"/>
      <w:sz w:val="18"/>
    </w:rPr>
  </w:style>
  <w:style w:type="character" w:customStyle="1" w:styleId="1231">
    <w:name w:val="Item Step Char"/>
    <w:link w:val="852"/>
    <w:qFormat/>
    <w:locked/>
    <w:uiPriority w:val="0"/>
    <w:rPr>
      <w:rFonts w:ascii="Arial" w:hAnsi="Arial"/>
      <w:sz w:val="24"/>
    </w:rPr>
  </w:style>
  <w:style w:type="paragraph" w:customStyle="1" w:styleId="1232">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cs="Arial"/>
      <w:kern w:val="0"/>
      <w:szCs w:val="21"/>
    </w:rPr>
  </w:style>
  <w:style w:type="paragraph" w:customStyle="1" w:styleId="1233">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1234">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1235">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1236">
    <w:name w:val="xl27"/>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hAnsi="宋体" w:cs="宋体"/>
      <w:kern w:val="0"/>
      <w:sz w:val="20"/>
      <w:szCs w:val="20"/>
    </w:rPr>
  </w:style>
  <w:style w:type="paragraph" w:customStyle="1" w:styleId="1237">
    <w:name w:val="xl28"/>
    <w:basedOn w:val="1"/>
    <w:qFormat/>
    <w:uiPriority w:val="99"/>
    <w:pPr>
      <w:widowControl/>
      <w:pBdr>
        <w:left w:val="single" w:color="auto" w:sz="4" w:space="0"/>
        <w:right w:val="single" w:color="auto" w:sz="4" w:space="0"/>
      </w:pBdr>
      <w:spacing w:before="100" w:beforeAutospacing="1" w:after="100" w:afterAutospacing="1"/>
      <w:jc w:val="center"/>
    </w:pPr>
    <w:rPr>
      <w:rFonts w:hAnsi="宋体" w:cs="宋体"/>
      <w:kern w:val="0"/>
    </w:rPr>
  </w:style>
  <w:style w:type="paragraph" w:customStyle="1" w:styleId="1238">
    <w:name w:val="xl29"/>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hAnsi="宋体" w:cs="宋体"/>
      <w:kern w:val="0"/>
    </w:rPr>
  </w:style>
  <w:style w:type="paragraph" w:customStyle="1" w:styleId="1239">
    <w:name w:val="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1240">
    <w:name w:val="封面"/>
    <w:basedOn w:val="1"/>
    <w:qFormat/>
    <w:uiPriority w:val="99"/>
    <w:pPr>
      <w:spacing w:before="120" w:after="120" w:line="360" w:lineRule="auto"/>
      <w:ind w:firstLine="482"/>
      <w:jc w:val="center"/>
    </w:pPr>
    <w:rPr>
      <w:b/>
      <w:kern w:val="0"/>
      <w:sz w:val="52"/>
      <w:szCs w:val="20"/>
    </w:rPr>
  </w:style>
  <w:style w:type="paragraph" w:customStyle="1" w:styleId="1241">
    <w:name w:val="样式 样式 样式 样式 样式 样式 正文文本 + 行距: 2 倍行距 + 左侧:  0.57 字符 首行缩进:  2.45 字符...2"/>
    <w:basedOn w:val="1"/>
    <w:qFormat/>
    <w:uiPriority w:val="99"/>
    <w:pPr>
      <w:tabs>
        <w:tab w:val="left" w:pos="142"/>
      </w:tabs>
      <w:spacing w:beforeLines="50" w:afterLines="50" w:line="300" w:lineRule="auto"/>
      <w:ind w:firstLine="480" w:firstLineChars="200"/>
      <w:jc w:val="left"/>
    </w:pPr>
    <w:rPr>
      <w:rFonts w:hAnsi="宋体" w:cs="宋体"/>
      <w:szCs w:val="20"/>
    </w:rPr>
  </w:style>
  <w:style w:type="paragraph" w:customStyle="1" w:styleId="1242">
    <w:name w:val="GP标题1"/>
    <w:basedOn w:val="1"/>
    <w:next w:val="1"/>
    <w:qFormat/>
    <w:uiPriority w:val="0"/>
    <w:pPr>
      <w:numPr>
        <w:ilvl w:val="0"/>
        <w:numId w:val="48"/>
      </w:numPr>
      <w:tabs>
        <w:tab w:val="left" w:pos="360"/>
      </w:tabs>
      <w:spacing w:beforeLines="100" w:afterLines="100" w:line="360" w:lineRule="auto"/>
      <w:jc w:val="center"/>
      <w:outlineLvl w:val="0"/>
    </w:pPr>
    <w:rPr>
      <w:rFonts w:ascii="黑体" w:hAnsi="黑体" w:eastAsia="黑体"/>
      <w:b/>
      <w:sz w:val="36"/>
      <w:szCs w:val="21"/>
    </w:rPr>
  </w:style>
  <w:style w:type="paragraph" w:customStyle="1" w:styleId="1243">
    <w:name w:val="GP标题2"/>
    <w:basedOn w:val="1"/>
    <w:next w:val="1"/>
    <w:qFormat/>
    <w:uiPriority w:val="0"/>
    <w:pPr>
      <w:numPr>
        <w:ilvl w:val="1"/>
        <w:numId w:val="48"/>
      </w:numPr>
      <w:tabs>
        <w:tab w:val="left" w:pos="360"/>
      </w:tabs>
      <w:spacing w:beforeLines="50" w:afterLines="50" w:line="360" w:lineRule="auto"/>
      <w:jc w:val="left"/>
      <w:outlineLvl w:val="1"/>
    </w:pPr>
    <w:rPr>
      <w:rFonts w:ascii="华文细黑" w:hAnsi="华文细黑" w:eastAsia="华文细黑"/>
      <w:b/>
      <w:sz w:val="32"/>
      <w:szCs w:val="21"/>
    </w:rPr>
  </w:style>
  <w:style w:type="paragraph" w:customStyle="1" w:styleId="1244">
    <w:name w:val="GP标题3"/>
    <w:basedOn w:val="1"/>
    <w:next w:val="1"/>
    <w:qFormat/>
    <w:uiPriority w:val="0"/>
    <w:pPr>
      <w:numPr>
        <w:ilvl w:val="2"/>
        <w:numId w:val="48"/>
      </w:numPr>
      <w:tabs>
        <w:tab w:val="left" w:pos="360"/>
      </w:tabs>
      <w:spacing w:beforeLines="50" w:afterLines="50" w:line="360" w:lineRule="auto"/>
      <w:ind w:left="0"/>
      <w:jc w:val="left"/>
      <w:outlineLvl w:val="2"/>
    </w:pPr>
    <w:rPr>
      <w:rFonts w:ascii="华文细黑" w:hAnsi="华文细黑" w:eastAsia="华文细黑"/>
      <w:b/>
      <w:sz w:val="30"/>
      <w:szCs w:val="21"/>
    </w:rPr>
  </w:style>
  <w:style w:type="paragraph" w:customStyle="1" w:styleId="1245">
    <w:name w:val="GP标题4"/>
    <w:basedOn w:val="1"/>
    <w:next w:val="1"/>
    <w:qFormat/>
    <w:uiPriority w:val="0"/>
    <w:pPr>
      <w:numPr>
        <w:ilvl w:val="3"/>
        <w:numId w:val="48"/>
      </w:numPr>
      <w:tabs>
        <w:tab w:val="left" w:pos="360"/>
      </w:tabs>
      <w:spacing w:beforeLines="50" w:afterLines="50" w:line="360" w:lineRule="auto"/>
      <w:jc w:val="left"/>
      <w:outlineLvl w:val="3"/>
    </w:pPr>
    <w:rPr>
      <w:rFonts w:ascii="华文细黑" w:hAnsi="华文细黑" w:eastAsia="华文细黑"/>
      <w:b/>
      <w:sz w:val="28"/>
      <w:szCs w:val="21"/>
    </w:rPr>
  </w:style>
  <w:style w:type="paragraph" w:customStyle="1" w:styleId="1246">
    <w:name w:val="GP标题5"/>
    <w:basedOn w:val="1"/>
    <w:next w:val="1"/>
    <w:qFormat/>
    <w:uiPriority w:val="0"/>
    <w:pPr>
      <w:numPr>
        <w:ilvl w:val="4"/>
        <w:numId w:val="48"/>
      </w:numPr>
      <w:tabs>
        <w:tab w:val="left" w:pos="360"/>
      </w:tabs>
      <w:spacing w:beforeLines="50" w:afterLines="50" w:line="360" w:lineRule="auto"/>
      <w:jc w:val="left"/>
      <w:outlineLvl w:val="4"/>
    </w:pPr>
    <w:rPr>
      <w:rFonts w:ascii="华文细黑" w:hAnsi="华文细黑" w:eastAsia="华文细黑"/>
      <w:b/>
      <w:szCs w:val="21"/>
    </w:rPr>
  </w:style>
  <w:style w:type="paragraph" w:customStyle="1" w:styleId="1247">
    <w:name w:val="GP正文(首行缩进)"/>
    <w:basedOn w:val="1"/>
    <w:qFormat/>
    <w:uiPriority w:val="0"/>
    <w:pPr>
      <w:spacing w:line="360" w:lineRule="auto"/>
      <w:ind w:firstLine="200" w:firstLineChars="200"/>
      <w:jc w:val="left"/>
    </w:pPr>
    <w:rPr>
      <w:szCs w:val="21"/>
    </w:rPr>
  </w:style>
  <w:style w:type="paragraph" w:customStyle="1" w:styleId="1248">
    <w:name w:val="图注"/>
    <w:basedOn w:val="21"/>
    <w:next w:val="73"/>
    <w:qFormat/>
    <w:uiPriority w:val="99"/>
    <w:pPr>
      <w:adjustRightInd w:val="0"/>
      <w:snapToGrid w:val="0"/>
      <w:spacing w:line="360" w:lineRule="auto"/>
      <w:jc w:val="both"/>
    </w:pPr>
    <w:rPr>
      <w:rFonts w:ascii="宋体" w:hAnsi="宋体" w:eastAsia="宋体"/>
      <w:b/>
      <w:sz w:val="21"/>
      <w:lang w:val="zh-CN"/>
    </w:rPr>
  </w:style>
  <w:style w:type="paragraph" w:customStyle="1" w:styleId="1249">
    <w:name w:val="table_lines"/>
    <w:basedOn w:val="1"/>
    <w:qFormat/>
    <w:uiPriority w:val="0"/>
    <w:pPr>
      <w:widowControl/>
      <w:jc w:val="left"/>
    </w:pPr>
    <w:rPr>
      <w:kern w:val="0"/>
      <w:sz w:val="20"/>
      <w:szCs w:val="20"/>
    </w:rPr>
  </w:style>
  <w:style w:type="paragraph" w:customStyle="1" w:styleId="1250">
    <w:name w:val="Char Char Char Char1"/>
    <w:basedOn w:val="1"/>
    <w:qFormat/>
    <w:uiPriority w:val="0"/>
    <w:pPr>
      <w:ind w:firstLine="360" w:firstLineChars="150"/>
    </w:pPr>
    <w:rPr>
      <w:rFonts w:ascii="Tahoma" w:hAnsi="Tahoma"/>
      <w:szCs w:val="20"/>
    </w:rPr>
  </w:style>
  <w:style w:type="paragraph" w:customStyle="1" w:styleId="1251">
    <w:name w:val="Char Char Char1"/>
    <w:basedOn w:val="1"/>
    <w:qFormat/>
    <w:uiPriority w:val="0"/>
    <w:pPr>
      <w:widowControl/>
      <w:spacing w:line="400" w:lineRule="exact"/>
      <w:jc w:val="center"/>
    </w:pPr>
    <w:rPr>
      <w:rFonts w:ascii="Verdana" w:hAnsi="Verdana"/>
      <w:kern w:val="0"/>
      <w:szCs w:val="20"/>
      <w:lang w:eastAsia="en-US"/>
    </w:rPr>
  </w:style>
  <w:style w:type="paragraph" w:customStyle="1" w:styleId="1252">
    <w:name w:val="style2"/>
    <w:basedOn w:val="1"/>
    <w:qFormat/>
    <w:uiPriority w:val="0"/>
    <w:pPr>
      <w:widowControl/>
      <w:spacing w:before="75"/>
      <w:ind w:left="300" w:right="300" w:firstLine="360"/>
      <w:jc w:val="left"/>
    </w:pPr>
    <w:rPr>
      <w:rFonts w:ascii="Tahoma" w:hAnsi="Tahoma" w:cs="Tahoma"/>
      <w:color w:val="000000"/>
      <w:kern w:val="0"/>
      <w:sz w:val="17"/>
      <w:szCs w:val="17"/>
    </w:rPr>
  </w:style>
  <w:style w:type="paragraph" w:customStyle="1" w:styleId="1253">
    <w:name w:val="xl36"/>
    <w:basedOn w:val="1"/>
    <w:qFormat/>
    <w:uiPriority w:val="0"/>
    <w:pPr>
      <w:widowControl/>
      <w:pBdr>
        <w:left w:val="single" w:color="auto" w:sz="4" w:space="0"/>
        <w:right w:val="single" w:color="auto" w:sz="4" w:space="0"/>
      </w:pBdr>
      <w:spacing w:before="100" w:beforeAutospacing="1" w:after="100" w:afterAutospacing="1"/>
      <w:jc w:val="center"/>
    </w:pPr>
    <w:rPr>
      <w:rFonts w:hAnsi="宋体"/>
      <w:kern w:val="0"/>
      <w:szCs w:val="20"/>
    </w:rPr>
  </w:style>
  <w:style w:type="paragraph" w:customStyle="1" w:styleId="1254">
    <w:name w:val="ZX-正文"/>
    <w:link w:val="1255"/>
    <w:qFormat/>
    <w:uiPriority w:val="0"/>
    <w:pPr>
      <w:spacing w:beforeLines="50"/>
      <w:ind w:firstLine="480" w:firstLineChars="200"/>
    </w:pPr>
    <w:rPr>
      <w:rFonts w:ascii="Trebuchet MS" w:hAnsi="FuturaA Bk BT" w:eastAsia="宋体" w:cs="Times New Roman"/>
      <w:kern w:val="2"/>
      <w:sz w:val="24"/>
      <w:lang w:val="en-US" w:eastAsia="zh-CN" w:bidi="ar-SA"/>
    </w:rPr>
  </w:style>
  <w:style w:type="character" w:customStyle="1" w:styleId="1255">
    <w:name w:val="ZX-正文 Char Char"/>
    <w:link w:val="1254"/>
    <w:qFormat/>
    <w:uiPriority w:val="0"/>
    <w:rPr>
      <w:rFonts w:ascii="Trebuchet MS" w:hAnsi="FuturaA Bk BT"/>
      <w:kern w:val="2"/>
      <w:sz w:val="24"/>
    </w:rPr>
  </w:style>
  <w:style w:type="paragraph" w:customStyle="1" w:styleId="1256">
    <w:name w:val="表格样式居左"/>
    <w:link w:val="1257"/>
    <w:qFormat/>
    <w:uiPriority w:val="0"/>
    <w:pPr>
      <w:adjustRightInd w:val="0"/>
      <w:snapToGrid w:val="0"/>
      <w:spacing w:line="360" w:lineRule="exact"/>
    </w:pPr>
    <w:rPr>
      <w:rFonts w:ascii="Calibri" w:hAnsi="Calibri" w:eastAsia="仿宋_GB2312" w:cs="Times New Roman"/>
      <w:bCs/>
      <w:sz w:val="24"/>
      <w:szCs w:val="44"/>
      <w:lang w:val="en-US" w:eastAsia="zh-CN" w:bidi="ar-SA"/>
    </w:rPr>
  </w:style>
  <w:style w:type="character" w:customStyle="1" w:styleId="1257">
    <w:name w:val="表格样式居左 Char Char"/>
    <w:link w:val="1256"/>
    <w:qFormat/>
    <w:uiPriority w:val="0"/>
    <w:rPr>
      <w:rFonts w:ascii="Calibri" w:hAnsi="Calibri" w:eastAsia="仿宋_GB2312"/>
      <w:bCs/>
      <w:sz w:val="24"/>
      <w:szCs w:val="44"/>
    </w:rPr>
  </w:style>
  <w:style w:type="paragraph" w:customStyle="1" w:styleId="1258">
    <w:name w:val="GP正文(无首行缩进)"/>
    <w:qFormat/>
    <w:uiPriority w:val="0"/>
    <w:pPr>
      <w:widowControl w:val="0"/>
      <w:spacing w:line="360" w:lineRule="auto"/>
    </w:pPr>
    <w:rPr>
      <w:rFonts w:ascii="Times New Roman" w:hAnsi="Times New Roman" w:eastAsia="宋体" w:cs="Calibri"/>
      <w:kern w:val="2"/>
      <w:sz w:val="24"/>
      <w:szCs w:val="21"/>
      <w:lang w:val="en-US" w:eastAsia="zh-CN" w:bidi="ar-SA"/>
    </w:rPr>
  </w:style>
  <w:style w:type="paragraph" w:customStyle="1" w:styleId="1259">
    <w:name w:val="编号，四号"/>
    <w:basedOn w:val="1"/>
    <w:qFormat/>
    <w:uiPriority w:val="0"/>
    <w:pPr>
      <w:numPr>
        <w:ilvl w:val="0"/>
        <w:numId w:val="49"/>
      </w:numPr>
      <w:tabs>
        <w:tab w:val="left" w:pos="360"/>
      </w:tabs>
      <w:spacing w:line="360" w:lineRule="auto"/>
      <w:ind w:left="0" w:firstLine="0"/>
    </w:pPr>
    <w:rPr>
      <w:rFonts w:eastAsia="仿宋" w:cs="宋体"/>
      <w:sz w:val="28"/>
      <w:szCs w:val="20"/>
    </w:rPr>
  </w:style>
  <w:style w:type="paragraph" w:customStyle="1" w:styleId="1260">
    <w:name w:val="标题3，章节第三层"/>
    <w:basedOn w:val="1"/>
    <w:next w:val="1206"/>
    <w:qFormat/>
    <w:uiPriority w:val="0"/>
    <w:pPr>
      <w:tabs>
        <w:tab w:val="left" w:pos="1080"/>
        <w:tab w:val="left" w:pos="2160"/>
      </w:tabs>
      <w:adjustRightInd w:val="0"/>
      <w:snapToGrid w:val="0"/>
      <w:spacing w:before="78" w:line="300" w:lineRule="auto"/>
      <w:ind w:left="567" w:hanging="567" w:firstLineChars="200"/>
      <w:outlineLvl w:val="2"/>
    </w:pPr>
    <w:rPr>
      <w:rFonts w:ascii="Arial" w:hAnsi="Arial" w:eastAsia="华文细黑"/>
      <w:sz w:val="30"/>
    </w:rPr>
  </w:style>
  <w:style w:type="paragraph" w:customStyle="1" w:styleId="1261">
    <w:name w:val="gp"/>
    <w:basedOn w:val="1"/>
    <w:qFormat/>
    <w:uiPriority w:val="0"/>
    <w:pPr>
      <w:widowControl/>
      <w:jc w:val="left"/>
    </w:pPr>
    <w:rPr>
      <w:rFonts w:hAnsi="宋体" w:cs="宋体"/>
      <w:kern w:val="0"/>
    </w:rPr>
  </w:style>
  <w:style w:type="paragraph" w:customStyle="1" w:styleId="1262">
    <w:name w:val="Display terminal"/>
    <w:link w:val="1263"/>
    <w:qFormat/>
    <w:uiPriority w:val="0"/>
    <w:pPr>
      <w:ind w:left="400" w:leftChars="400"/>
    </w:pPr>
    <w:rPr>
      <w:rFonts w:ascii="Courier New" w:hAnsi="Courier New" w:eastAsia="宋体" w:cs="Calibri"/>
      <w:lang w:val="en-US" w:eastAsia="zh-CN" w:bidi="ar-SA"/>
    </w:rPr>
  </w:style>
  <w:style w:type="character" w:customStyle="1" w:styleId="1263">
    <w:name w:val="Display terminal Char"/>
    <w:link w:val="1262"/>
    <w:qFormat/>
    <w:uiPriority w:val="0"/>
    <w:rPr>
      <w:rFonts w:ascii="Courier New" w:hAnsi="Courier New" w:cs="Calibri"/>
    </w:rPr>
  </w:style>
  <w:style w:type="paragraph" w:customStyle="1" w:styleId="1264">
    <w:name w:val="Table text"/>
    <w:link w:val="1265"/>
    <w:qFormat/>
    <w:uiPriority w:val="0"/>
    <w:pPr>
      <w:spacing w:before="40" w:after="40"/>
    </w:pPr>
    <w:rPr>
      <w:rFonts w:ascii="Arial" w:hAnsi="Arial" w:eastAsia="宋体" w:cs="Arial"/>
      <w:lang w:val="en-US" w:eastAsia="zh-CN" w:bidi="ar-SA"/>
    </w:rPr>
  </w:style>
  <w:style w:type="character" w:customStyle="1" w:styleId="1265">
    <w:name w:val="Table text Char"/>
    <w:link w:val="1264"/>
    <w:qFormat/>
    <w:uiPriority w:val="0"/>
    <w:rPr>
      <w:rFonts w:ascii="Arial" w:hAnsi="Arial" w:cs="Arial"/>
    </w:rPr>
  </w:style>
  <w:style w:type="paragraph" w:customStyle="1" w:styleId="1266">
    <w:name w:val="Item list"/>
    <w:basedOn w:val="1"/>
    <w:qFormat/>
    <w:uiPriority w:val="99"/>
    <w:pPr>
      <w:widowControl/>
      <w:spacing w:after="60"/>
    </w:pPr>
    <w:rPr>
      <w:rFonts w:ascii="Arial" w:hAnsi="Arial"/>
      <w:kern w:val="0"/>
      <w:szCs w:val="20"/>
    </w:rPr>
  </w:style>
  <w:style w:type="paragraph" w:customStyle="1" w:styleId="1267">
    <w:name w:val="常规"/>
    <w:basedOn w:val="1"/>
    <w:link w:val="1268"/>
    <w:qFormat/>
    <w:uiPriority w:val="99"/>
    <w:pPr>
      <w:spacing w:beforeLines="100" w:afterLines="100"/>
      <w:ind w:left="1134"/>
    </w:pPr>
    <w:rPr>
      <w:szCs w:val="21"/>
      <w:lang w:val="zh-CN"/>
    </w:rPr>
  </w:style>
  <w:style w:type="character" w:customStyle="1" w:styleId="1268">
    <w:name w:val="常规 Char"/>
    <w:link w:val="1267"/>
    <w:qFormat/>
    <w:uiPriority w:val="99"/>
    <w:rPr>
      <w:kern w:val="2"/>
      <w:sz w:val="21"/>
      <w:szCs w:val="21"/>
      <w:lang w:val="zh-CN" w:eastAsia="zh-CN"/>
    </w:rPr>
  </w:style>
  <w:style w:type="paragraph" w:customStyle="1" w:styleId="1269">
    <w:name w:val="Block"/>
    <w:basedOn w:val="1"/>
    <w:next w:val="1267"/>
    <w:link w:val="1270"/>
    <w:qFormat/>
    <w:uiPriority w:val="0"/>
    <w:pPr>
      <w:tabs>
        <w:tab w:val="left" w:pos="0"/>
      </w:tabs>
    </w:pPr>
    <w:rPr>
      <w:rFonts w:ascii="Arial" w:hAnsi="Arial" w:eastAsia="楷体_GB2312"/>
      <w:color w:val="000080"/>
      <w:sz w:val="28"/>
      <w:szCs w:val="28"/>
      <w:lang w:val="zh-CN"/>
    </w:rPr>
  </w:style>
  <w:style w:type="character" w:customStyle="1" w:styleId="1270">
    <w:name w:val="Block Char"/>
    <w:link w:val="1269"/>
    <w:qFormat/>
    <w:locked/>
    <w:uiPriority w:val="0"/>
    <w:rPr>
      <w:rFonts w:ascii="Arial" w:hAnsi="Arial" w:eastAsia="楷体_GB2312"/>
      <w:color w:val="000080"/>
      <w:kern w:val="2"/>
      <w:sz w:val="28"/>
      <w:szCs w:val="28"/>
      <w:lang w:val="zh-CN" w:eastAsia="zh-CN"/>
    </w:rPr>
  </w:style>
  <w:style w:type="character" w:customStyle="1" w:styleId="1271">
    <w:name w:val="Item List Char"/>
    <w:link w:val="350"/>
    <w:qFormat/>
    <w:uiPriority w:val="0"/>
    <w:rPr>
      <w:kern w:val="2"/>
      <w:sz w:val="21"/>
      <w:szCs w:val="21"/>
    </w:rPr>
  </w:style>
  <w:style w:type="paragraph" w:customStyle="1" w:styleId="1272">
    <w:name w:val="正文00 Char"/>
    <w:basedOn w:val="1"/>
    <w:qFormat/>
    <w:uiPriority w:val="99"/>
    <w:pPr>
      <w:tabs>
        <w:tab w:val="left" w:pos="0"/>
      </w:tabs>
      <w:spacing w:line="360" w:lineRule="auto"/>
      <w:ind w:firstLine="480" w:firstLineChars="200"/>
    </w:pPr>
    <w:rPr>
      <w:rFonts w:hAnsi="宋体"/>
      <w:kern w:val="28"/>
    </w:rPr>
  </w:style>
  <w:style w:type="paragraph" w:customStyle="1" w:styleId="1273">
    <w:name w:val="建议"/>
    <w:basedOn w:val="1267"/>
    <w:next w:val="1267"/>
    <w:qFormat/>
    <w:uiPriority w:val="99"/>
    <w:pPr>
      <w:numPr>
        <w:ilvl w:val="0"/>
        <w:numId w:val="50"/>
      </w:numPr>
      <w:shd w:val="clear" w:color="auto" w:fill="D1FFD1"/>
      <w:tabs>
        <w:tab w:val="left" w:pos="360"/>
        <w:tab w:val="left" w:pos="720"/>
        <w:tab w:val="clear" w:pos="1701"/>
      </w:tabs>
      <w:ind w:left="0" w:hanging="420"/>
    </w:pPr>
    <w:rPr>
      <w:rFonts w:eastAsia="楷体_GB2312"/>
    </w:rPr>
  </w:style>
  <w:style w:type="paragraph" w:customStyle="1" w:styleId="1274">
    <w:name w:val="说明"/>
    <w:basedOn w:val="1273"/>
    <w:next w:val="1267"/>
    <w:qFormat/>
    <w:uiPriority w:val="99"/>
    <w:pPr>
      <w:shd w:val="clear" w:color="auto" w:fill="FFFFAF"/>
    </w:pPr>
  </w:style>
  <w:style w:type="paragraph" w:customStyle="1" w:styleId="1275">
    <w:name w:val="正文(首行缩进)"/>
    <w:basedOn w:val="1"/>
    <w:link w:val="1276"/>
    <w:qFormat/>
    <w:uiPriority w:val="0"/>
    <w:pPr>
      <w:spacing w:line="360" w:lineRule="auto"/>
      <w:ind w:firstLine="200" w:firstLineChars="200"/>
    </w:pPr>
    <w:rPr>
      <w:rFonts w:ascii="Arial Narrow" w:hAnsi="Arial Narrow"/>
      <w:lang w:val="zh-CN"/>
    </w:rPr>
  </w:style>
  <w:style w:type="character" w:customStyle="1" w:styleId="1276">
    <w:name w:val="正文(首行缩进) Char"/>
    <w:link w:val="1275"/>
    <w:qFormat/>
    <w:uiPriority w:val="0"/>
    <w:rPr>
      <w:rFonts w:ascii="Arial Narrow" w:hAnsi="Arial Narrow"/>
      <w:kern w:val="2"/>
      <w:sz w:val="24"/>
      <w:szCs w:val="24"/>
      <w:lang w:val="zh-CN" w:eastAsia="zh-CN"/>
    </w:rPr>
  </w:style>
  <w:style w:type="paragraph" w:customStyle="1" w:styleId="1277">
    <w:name w:val="正文四号"/>
    <w:basedOn w:val="1"/>
    <w:link w:val="1278"/>
    <w:qFormat/>
    <w:uiPriority w:val="0"/>
    <w:pPr>
      <w:spacing w:line="360" w:lineRule="auto"/>
      <w:ind w:firstLine="200" w:firstLineChars="200"/>
    </w:pPr>
    <w:rPr>
      <w:szCs w:val="20"/>
      <w:lang w:val="zh-CN"/>
    </w:rPr>
  </w:style>
  <w:style w:type="character" w:customStyle="1" w:styleId="1278">
    <w:name w:val="正文四号 Char"/>
    <w:link w:val="1277"/>
    <w:qFormat/>
    <w:uiPriority w:val="0"/>
    <w:rPr>
      <w:kern w:val="2"/>
      <w:sz w:val="24"/>
      <w:lang w:val="zh-CN" w:eastAsia="zh-CN"/>
    </w:rPr>
  </w:style>
  <w:style w:type="paragraph" w:customStyle="1" w:styleId="1279">
    <w:name w:val="样式19"/>
    <w:basedOn w:val="1"/>
    <w:link w:val="1280"/>
    <w:qFormat/>
    <w:uiPriority w:val="0"/>
    <w:pPr>
      <w:widowControl/>
      <w:tabs>
        <w:tab w:val="left" w:pos="0"/>
      </w:tabs>
      <w:spacing w:line="360" w:lineRule="auto"/>
      <w:ind w:firstLine="480" w:firstLineChars="200"/>
    </w:pPr>
    <w:rPr>
      <w:rFonts w:ascii="Arial" w:hAnsi="Arial"/>
      <w:color w:val="000000"/>
      <w:kern w:val="0"/>
      <w:lang w:val="zh-CN"/>
    </w:rPr>
  </w:style>
  <w:style w:type="character" w:customStyle="1" w:styleId="1280">
    <w:name w:val="样式19 Char"/>
    <w:link w:val="1279"/>
    <w:qFormat/>
    <w:uiPriority w:val="0"/>
    <w:rPr>
      <w:rFonts w:ascii="Arial" w:hAnsi="Arial"/>
      <w:color w:val="000000"/>
      <w:sz w:val="24"/>
      <w:szCs w:val="24"/>
      <w:lang w:val="zh-CN" w:eastAsia="zh-CN"/>
    </w:rPr>
  </w:style>
  <w:style w:type="paragraph" w:customStyle="1" w:styleId="1281">
    <w:name w:val="样式20"/>
    <w:basedOn w:val="1"/>
    <w:link w:val="1282"/>
    <w:qFormat/>
    <w:uiPriority w:val="0"/>
    <w:pPr>
      <w:widowControl/>
      <w:spacing w:line="360" w:lineRule="auto"/>
      <w:jc w:val="center"/>
    </w:pPr>
    <w:rPr>
      <w:kern w:val="0"/>
      <w:lang w:val="zh-CN"/>
    </w:rPr>
  </w:style>
  <w:style w:type="character" w:customStyle="1" w:styleId="1282">
    <w:name w:val="样式20 Char"/>
    <w:link w:val="1281"/>
    <w:qFormat/>
    <w:uiPriority w:val="0"/>
    <w:rPr>
      <w:sz w:val="21"/>
      <w:szCs w:val="24"/>
      <w:lang w:val="zh-CN" w:eastAsia="zh-CN"/>
    </w:rPr>
  </w:style>
  <w:style w:type="paragraph" w:customStyle="1" w:styleId="1283">
    <w:name w:val="样式13"/>
    <w:basedOn w:val="1"/>
    <w:qFormat/>
    <w:uiPriority w:val="0"/>
    <w:pPr>
      <w:widowControl/>
      <w:numPr>
        <w:ilvl w:val="0"/>
        <w:numId w:val="51"/>
      </w:numPr>
      <w:tabs>
        <w:tab w:val="left" w:pos="360"/>
        <w:tab w:val="clear" w:pos="425"/>
      </w:tabs>
      <w:spacing w:line="360" w:lineRule="auto"/>
      <w:ind w:left="0" w:firstLine="0"/>
      <w:jc w:val="center"/>
      <w:outlineLvl w:val="0"/>
    </w:pPr>
    <w:rPr>
      <w:b/>
      <w:kern w:val="0"/>
      <w:sz w:val="44"/>
      <w:szCs w:val="44"/>
    </w:rPr>
  </w:style>
  <w:style w:type="paragraph" w:customStyle="1" w:styleId="1284">
    <w:name w:val="样式14"/>
    <w:basedOn w:val="1"/>
    <w:qFormat/>
    <w:uiPriority w:val="0"/>
    <w:pPr>
      <w:widowControl/>
      <w:numPr>
        <w:ilvl w:val="1"/>
        <w:numId w:val="51"/>
      </w:numPr>
      <w:tabs>
        <w:tab w:val="left" w:pos="360"/>
        <w:tab w:val="left" w:pos="425"/>
        <w:tab w:val="clear" w:pos="567"/>
      </w:tabs>
      <w:spacing w:line="360" w:lineRule="auto"/>
      <w:ind w:left="0" w:firstLine="0"/>
      <w:jc w:val="left"/>
      <w:outlineLvl w:val="1"/>
    </w:pPr>
    <w:rPr>
      <w:b/>
      <w:kern w:val="0"/>
      <w:sz w:val="32"/>
      <w:szCs w:val="32"/>
    </w:rPr>
  </w:style>
  <w:style w:type="paragraph" w:customStyle="1" w:styleId="1285">
    <w:name w:val="样式15"/>
    <w:basedOn w:val="1"/>
    <w:qFormat/>
    <w:uiPriority w:val="0"/>
    <w:pPr>
      <w:widowControl/>
      <w:numPr>
        <w:ilvl w:val="2"/>
        <w:numId w:val="51"/>
      </w:numPr>
      <w:tabs>
        <w:tab w:val="left" w:pos="360"/>
        <w:tab w:val="left" w:pos="425"/>
        <w:tab w:val="clear" w:pos="709"/>
      </w:tabs>
      <w:spacing w:line="360" w:lineRule="auto"/>
      <w:ind w:left="0" w:firstLine="0"/>
      <w:jc w:val="left"/>
      <w:outlineLvl w:val="2"/>
    </w:pPr>
    <w:rPr>
      <w:b/>
      <w:kern w:val="0"/>
      <w:sz w:val="30"/>
      <w:szCs w:val="30"/>
    </w:rPr>
  </w:style>
  <w:style w:type="paragraph" w:customStyle="1" w:styleId="1286">
    <w:name w:val="样式16"/>
    <w:basedOn w:val="1"/>
    <w:qFormat/>
    <w:uiPriority w:val="0"/>
    <w:pPr>
      <w:widowControl/>
      <w:numPr>
        <w:ilvl w:val="3"/>
        <w:numId w:val="51"/>
      </w:numPr>
      <w:tabs>
        <w:tab w:val="left" w:pos="360"/>
        <w:tab w:val="left" w:pos="425"/>
        <w:tab w:val="clear" w:pos="851"/>
      </w:tabs>
      <w:spacing w:beforeLines="50" w:afterLines="50" w:line="360" w:lineRule="auto"/>
      <w:ind w:left="0" w:firstLine="0"/>
      <w:jc w:val="left"/>
      <w:outlineLvl w:val="3"/>
    </w:pPr>
    <w:rPr>
      <w:b/>
      <w:kern w:val="0"/>
      <w:sz w:val="28"/>
      <w:szCs w:val="28"/>
    </w:rPr>
  </w:style>
  <w:style w:type="paragraph" w:customStyle="1" w:styleId="1287">
    <w:name w:val="样式18"/>
    <w:basedOn w:val="1"/>
    <w:qFormat/>
    <w:uiPriority w:val="0"/>
    <w:pPr>
      <w:widowControl/>
      <w:numPr>
        <w:ilvl w:val="4"/>
        <w:numId w:val="51"/>
      </w:numPr>
      <w:tabs>
        <w:tab w:val="left" w:pos="360"/>
        <w:tab w:val="left" w:pos="425"/>
        <w:tab w:val="clear" w:pos="992"/>
      </w:tabs>
      <w:spacing w:line="360" w:lineRule="auto"/>
      <w:ind w:left="0" w:firstLine="0"/>
      <w:jc w:val="left"/>
      <w:outlineLvl w:val="4"/>
    </w:pPr>
    <w:rPr>
      <w:b/>
      <w:kern w:val="0"/>
      <w:sz w:val="28"/>
      <w:szCs w:val="28"/>
    </w:rPr>
  </w:style>
  <w:style w:type="paragraph" w:customStyle="1" w:styleId="1288">
    <w:name w:val="Char Char Char Char Char Char1 Char Char Char Char"/>
    <w:basedOn w:val="1"/>
    <w:qFormat/>
    <w:uiPriority w:val="0"/>
    <w:rPr>
      <w:rFonts w:ascii="Tahoma" w:hAnsi="Tahoma"/>
      <w:szCs w:val="20"/>
    </w:rPr>
  </w:style>
  <w:style w:type="paragraph" w:customStyle="1" w:styleId="1289">
    <w:name w:val="SANGFOR_1_标题1"/>
    <w:basedOn w:val="3"/>
    <w:next w:val="1"/>
    <w:qFormat/>
    <w:uiPriority w:val="0"/>
    <w:pPr>
      <w:numPr>
        <w:numId w:val="0"/>
      </w:numPr>
      <w:tabs>
        <w:tab w:val="left" w:pos="1206"/>
      </w:tabs>
      <w:spacing w:beforeLines="150" w:afterLines="50" w:line="240" w:lineRule="auto"/>
      <w:ind w:left="639"/>
    </w:pPr>
    <w:rPr>
      <w:rFonts w:ascii="Times New Roman" w:hAnsi="Times New Roman"/>
      <w:color w:val="auto"/>
      <w:sz w:val="32"/>
      <w:szCs w:val="32"/>
      <w:lang w:val="zh-CN"/>
    </w:rPr>
  </w:style>
  <w:style w:type="paragraph" w:customStyle="1" w:styleId="1290">
    <w:name w:val="SANGFOR_2_标题2"/>
    <w:basedOn w:val="4"/>
    <w:next w:val="1"/>
    <w:qFormat/>
    <w:uiPriority w:val="0"/>
    <w:pPr>
      <w:numPr>
        <w:numId w:val="0"/>
      </w:numPr>
      <w:tabs>
        <w:tab w:val="left" w:pos="1206"/>
      </w:tabs>
      <w:spacing w:beforeLines="50" w:afterLines="50"/>
      <w:ind w:left="639"/>
    </w:pPr>
    <w:rPr>
      <w:rFonts w:cs="Arial"/>
      <w:szCs w:val="30"/>
      <w:lang w:val="zh-CN"/>
    </w:rPr>
  </w:style>
  <w:style w:type="paragraph" w:customStyle="1" w:styleId="1291">
    <w:name w:val="SANGFOR_3_标题3"/>
    <w:basedOn w:val="5"/>
    <w:next w:val="1"/>
    <w:qFormat/>
    <w:uiPriority w:val="0"/>
    <w:pPr>
      <w:numPr>
        <w:numId w:val="0"/>
      </w:numPr>
      <w:tabs>
        <w:tab w:val="left" w:pos="1206"/>
      </w:tabs>
      <w:spacing w:beforeLines="50" w:afterLines="50"/>
      <w:ind w:left="639"/>
    </w:pPr>
    <w:rPr>
      <w:rFonts w:ascii="Times New Roman" w:hAnsi="Times New Roman"/>
      <w:sz w:val="24"/>
      <w:szCs w:val="24"/>
      <w:lang w:val="zh-CN"/>
    </w:rPr>
  </w:style>
  <w:style w:type="paragraph" w:customStyle="1" w:styleId="1292">
    <w:name w:val="SANGFOR_4_标题4"/>
    <w:basedOn w:val="6"/>
    <w:next w:val="1"/>
    <w:qFormat/>
    <w:uiPriority w:val="0"/>
    <w:pPr>
      <w:numPr>
        <w:numId w:val="0"/>
      </w:numPr>
      <w:tabs>
        <w:tab w:val="left" w:pos="1206"/>
      </w:tabs>
      <w:spacing w:beforeLines="50" w:afterLines="50"/>
      <w:ind w:left="639"/>
      <w:jc w:val="left"/>
    </w:pPr>
    <w:rPr>
      <w:rFonts w:ascii="Times New Roman" w:hAnsi="Times New Roman" w:cs="Times New Roman"/>
      <w:color w:val="auto"/>
      <w:lang w:val="zh-CN"/>
    </w:rPr>
  </w:style>
  <w:style w:type="paragraph" w:customStyle="1" w:styleId="1293">
    <w:name w:val="SANGFOR_5_标题5"/>
    <w:basedOn w:val="7"/>
    <w:next w:val="1"/>
    <w:qFormat/>
    <w:uiPriority w:val="0"/>
    <w:pPr>
      <w:numPr>
        <w:ilvl w:val="0"/>
        <w:numId w:val="52"/>
      </w:numPr>
      <w:tabs>
        <w:tab w:val="left" w:pos="360"/>
        <w:tab w:val="clear" w:pos="1206"/>
      </w:tabs>
      <w:spacing w:beforeLines="50" w:afterLines="50" w:line="360" w:lineRule="auto"/>
      <w:ind w:left="0"/>
    </w:pPr>
    <w:rPr>
      <w:rFonts w:ascii="Times New Roman" w:hAnsi="Times New Roman"/>
      <w:sz w:val="21"/>
      <w:szCs w:val="21"/>
      <w:lang w:val="zh-CN"/>
    </w:rPr>
  </w:style>
  <w:style w:type="paragraph" w:customStyle="1" w:styleId="1294">
    <w:name w:val="正文-通用文档模板"/>
    <w:basedOn w:val="20"/>
    <w:qFormat/>
    <w:uiPriority w:val="0"/>
    <w:pPr>
      <w:widowControl w:val="0"/>
      <w:spacing w:afterLines="0" w:line="360" w:lineRule="auto"/>
      <w:ind w:firstLine="200" w:firstLineChars="200"/>
      <w:jc w:val="both"/>
    </w:pPr>
    <w:rPr>
      <w:szCs w:val="21"/>
      <w:lang w:val="zh-CN"/>
    </w:rPr>
  </w:style>
  <w:style w:type="paragraph" w:customStyle="1" w:styleId="1295">
    <w:name w:val="段1.25"/>
    <w:basedOn w:val="1"/>
    <w:qFormat/>
    <w:uiPriority w:val="0"/>
    <w:pPr>
      <w:adjustRightInd w:val="0"/>
      <w:spacing w:line="300" w:lineRule="auto"/>
      <w:ind w:firstLine="420"/>
    </w:pPr>
    <w:rPr>
      <w:rFonts w:hAnsi="宋体"/>
      <w:b/>
      <w:bCs/>
      <w:kern w:val="21"/>
      <w:szCs w:val="21"/>
    </w:rPr>
  </w:style>
  <w:style w:type="paragraph" w:customStyle="1" w:styleId="1296">
    <w:name w:val="列项中圆1"/>
    <w:basedOn w:val="1"/>
    <w:next w:val="1"/>
    <w:link w:val="1297"/>
    <w:qFormat/>
    <w:uiPriority w:val="0"/>
    <w:pPr>
      <w:spacing w:line="300" w:lineRule="auto"/>
    </w:pPr>
    <w:rPr>
      <w:kern w:val="21"/>
      <w:szCs w:val="20"/>
      <w:lang w:val="zh-CN"/>
    </w:rPr>
  </w:style>
  <w:style w:type="character" w:customStyle="1" w:styleId="1297">
    <w:name w:val="列项中圆1 Char"/>
    <w:link w:val="1296"/>
    <w:qFormat/>
    <w:uiPriority w:val="0"/>
    <w:rPr>
      <w:kern w:val="21"/>
      <w:sz w:val="21"/>
      <w:lang w:val="zh-CN" w:eastAsia="zh-CN"/>
    </w:rPr>
  </w:style>
  <w:style w:type="paragraph" w:customStyle="1" w:styleId="1298">
    <w:name w:val="段间节标2"/>
    <w:basedOn w:val="1"/>
    <w:next w:val="1"/>
    <w:qFormat/>
    <w:uiPriority w:val="0"/>
    <w:pPr>
      <w:adjustRightInd w:val="0"/>
      <w:spacing w:before="240" w:after="240" w:line="0" w:lineRule="atLeast"/>
      <w:outlineLvl w:val="1"/>
    </w:pPr>
    <w:rPr>
      <w:rFonts w:ascii="Arial" w:hAnsi="Arial" w:eastAsia="黑体"/>
      <w:b/>
      <w:kern w:val="21"/>
      <w:szCs w:val="20"/>
    </w:rPr>
  </w:style>
  <w:style w:type="paragraph" w:customStyle="1" w:styleId="1299">
    <w:name w:val=".."/>
    <w:basedOn w:val="146"/>
    <w:next w:val="146"/>
    <w:qFormat/>
    <w:uiPriority w:val="0"/>
    <w:rPr>
      <w:color w:val="auto"/>
    </w:rPr>
  </w:style>
  <w:style w:type="paragraph" w:customStyle="1" w:styleId="1300">
    <w:name w:val="...6"/>
    <w:basedOn w:val="146"/>
    <w:next w:val="146"/>
    <w:qFormat/>
    <w:uiPriority w:val="0"/>
    <w:pPr>
      <w:spacing w:before="120" w:after="80"/>
    </w:pPr>
    <w:rPr>
      <w:rFonts w:ascii=".." w:eastAsia=".."/>
      <w:color w:val="auto"/>
    </w:rPr>
  </w:style>
  <w:style w:type="paragraph" w:customStyle="1" w:styleId="1301">
    <w:name w:val="表后节标2"/>
    <w:basedOn w:val="1"/>
    <w:next w:val="1"/>
    <w:qFormat/>
    <w:uiPriority w:val="0"/>
    <w:pPr>
      <w:spacing w:before="360" w:after="240" w:line="0" w:lineRule="atLeast"/>
      <w:outlineLvl w:val="1"/>
    </w:pPr>
    <w:rPr>
      <w:rFonts w:ascii="Arial" w:hAnsi="Arial" w:eastAsia="黑体"/>
      <w:b/>
      <w:kern w:val="21"/>
      <w:szCs w:val="20"/>
    </w:rPr>
  </w:style>
  <w:style w:type="paragraph" w:customStyle="1" w:styleId="1302">
    <w:name w:val="节后节标2"/>
    <w:basedOn w:val="1"/>
    <w:next w:val="1"/>
    <w:qFormat/>
    <w:uiPriority w:val="0"/>
    <w:pPr>
      <w:spacing w:after="240" w:line="0" w:lineRule="atLeast"/>
      <w:outlineLvl w:val="1"/>
    </w:pPr>
    <w:rPr>
      <w:rFonts w:ascii="Arial" w:hAnsi="Arial" w:eastAsia="黑体"/>
      <w:b/>
      <w:kern w:val="21"/>
      <w:szCs w:val="20"/>
    </w:rPr>
  </w:style>
  <w:style w:type="paragraph" w:customStyle="1" w:styleId="1303">
    <w:name w:val="注意1 Char"/>
    <w:basedOn w:val="1"/>
    <w:next w:val="1"/>
    <w:link w:val="1304"/>
    <w:qFormat/>
    <w:uiPriority w:val="0"/>
    <w:pPr>
      <w:spacing w:before="180" w:after="120"/>
      <w:ind w:left="1049" w:hanging="629"/>
    </w:pPr>
    <w:rPr>
      <w:rFonts w:ascii="楷体_GB2312" w:eastAsia="楷体_GB2312"/>
      <w:kern w:val="21"/>
      <w:szCs w:val="20"/>
      <w:lang w:val="zh-CN"/>
    </w:rPr>
  </w:style>
  <w:style w:type="character" w:customStyle="1" w:styleId="1304">
    <w:name w:val="注意1 Char Char"/>
    <w:link w:val="1303"/>
    <w:qFormat/>
    <w:uiPriority w:val="0"/>
    <w:rPr>
      <w:rFonts w:ascii="楷体_GB2312" w:eastAsia="楷体_GB2312"/>
      <w:kern w:val="21"/>
      <w:sz w:val="21"/>
      <w:lang w:val="zh-CN" w:eastAsia="zh-CN"/>
    </w:rPr>
  </w:style>
  <w:style w:type="paragraph" w:customStyle="1" w:styleId="1305">
    <w:name w:val="图前正文"/>
    <w:basedOn w:val="1"/>
    <w:qFormat/>
    <w:uiPriority w:val="0"/>
    <w:pPr>
      <w:tabs>
        <w:tab w:val="left" w:leader="dot" w:pos="1701"/>
        <w:tab w:val="left" w:pos="9072"/>
      </w:tabs>
      <w:adjustRightInd w:val="0"/>
      <w:snapToGrid w:val="0"/>
      <w:spacing w:before="120" w:after="360" w:line="360" w:lineRule="atLeast"/>
      <w:ind w:left="1701"/>
    </w:pPr>
    <w:rPr>
      <w:kern w:val="21"/>
      <w:szCs w:val="20"/>
    </w:rPr>
  </w:style>
  <w:style w:type="paragraph" w:customStyle="1" w:styleId="1306">
    <w:name w:val="列项中圆2"/>
    <w:basedOn w:val="1"/>
    <w:next w:val="1"/>
    <w:qFormat/>
    <w:uiPriority w:val="0"/>
    <w:pPr>
      <w:spacing w:line="300" w:lineRule="auto"/>
    </w:pPr>
    <w:rPr>
      <w:kern w:val="21"/>
      <w:szCs w:val="20"/>
    </w:rPr>
  </w:style>
  <w:style w:type="paragraph" w:customStyle="1" w:styleId="1307">
    <w:name w:val="列项万能1"/>
    <w:basedOn w:val="1"/>
    <w:qFormat/>
    <w:uiPriority w:val="0"/>
    <w:pPr>
      <w:spacing w:line="300" w:lineRule="auto"/>
      <w:ind w:left="840" w:hanging="420"/>
    </w:pPr>
    <w:rPr>
      <w:kern w:val="21"/>
      <w:szCs w:val="20"/>
    </w:rPr>
  </w:style>
  <w:style w:type="paragraph" w:customStyle="1" w:styleId="1308">
    <w:name w:val="图名1"/>
    <w:basedOn w:val="1"/>
    <w:qFormat/>
    <w:uiPriority w:val="0"/>
    <w:pPr>
      <w:tabs>
        <w:tab w:val="left" w:leader="dot" w:pos="1701"/>
        <w:tab w:val="left" w:pos="9072"/>
      </w:tabs>
      <w:snapToGrid w:val="0"/>
      <w:spacing w:before="120" w:after="360" w:line="360" w:lineRule="atLeast"/>
      <w:ind w:left="1701"/>
      <w:jc w:val="center"/>
    </w:pPr>
    <w:rPr>
      <w:kern w:val="21"/>
      <w:sz w:val="18"/>
      <w:szCs w:val="20"/>
    </w:rPr>
  </w:style>
  <w:style w:type="paragraph" w:customStyle="1" w:styleId="1309">
    <w:name w:val="正文编号1"/>
    <w:basedOn w:val="1"/>
    <w:qFormat/>
    <w:uiPriority w:val="0"/>
    <w:pPr>
      <w:tabs>
        <w:tab w:val="left" w:leader="dot" w:pos="1701"/>
        <w:tab w:val="left" w:pos="9072"/>
      </w:tabs>
      <w:adjustRightInd w:val="0"/>
      <w:snapToGrid w:val="0"/>
      <w:spacing w:before="120" w:after="120" w:line="360" w:lineRule="atLeast"/>
      <w:ind w:left="2342" w:hanging="471"/>
    </w:pPr>
    <w:rPr>
      <w:kern w:val="21"/>
      <w:szCs w:val="20"/>
    </w:rPr>
  </w:style>
  <w:style w:type="paragraph" w:customStyle="1" w:styleId="1310">
    <w:name w:val="纯文本2"/>
    <w:basedOn w:val="1"/>
    <w:qFormat/>
    <w:uiPriority w:val="0"/>
    <w:pPr>
      <w:adjustRightInd w:val="0"/>
      <w:textAlignment w:val="baseline"/>
    </w:pPr>
    <w:rPr>
      <w:rFonts w:hAnsi="Courier New"/>
      <w:szCs w:val="20"/>
    </w:rPr>
  </w:style>
  <w:style w:type="paragraph" w:customStyle="1" w:styleId="1311">
    <w:name w:val="样式 黑体 四号 居中"/>
    <w:qFormat/>
    <w:uiPriority w:val="0"/>
    <w:pPr>
      <w:jc w:val="center"/>
    </w:pPr>
    <w:rPr>
      <w:rFonts w:ascii="黑体" w:hAnsi="宋体" w:eastAsia="黑体" w:cs="宋体"/>
      <w:sz w:val="28"/>
      <w:lang w:val="en-US" w:eastAsia="zh-CN" w:bidi="ar-SA"/>
    </w:rPr>
  </w:style>
  <w:style w:type="paragraph" w:customStyle="1" w:styleId="1312">
    <w:name w:val="样式 标题 2第一层条h2H22UNDERRUBRIK 1-2R2H21H22H211H23H212H2...1"/>
    <w:link w:val="1313"/>
    <w:qFormat/>
    <w:uiPriority w:val="0"/>
    <w:rPr>
      <w:rFonts w:ascii="楷体_GB2312" w:hAnsi="楷体_GB2312" w:eastAsia="楷体_GB2312" w:cs="Times New Roman"/>
      <w:b/>
      <w:bCs/>
      <w:kern w:val="2"/>
      <w:sz w:val="32"/>
      <w:szCs w:val="32"/>
      <w:lang w:val="en-US" w:eastAsia="zh-CN" w:bidi="ar-SA"/>
    </w:rPr>
  </w:style>
  <w:style w:type="character" w:customStyle="1" w:styleId="1313">
    <w:name w:val="样式 标题 2第一层条h2H22UNDERRUBRIK 1-2R2H21H22H211H23H212H2...1 Char"/>
    <w:link w:val="1312"/>
    <w:qFormat/>
    <w:uiPriority w:val="0"/>
    <w:rPr>
      <w:rFonts w:ascii="楷体_GB2312" w:hAnsi="楷体_GB2312" w:eastAsia="楷体_GB2312"/>
      <w:b/>
      <w:bCs/>
      <w:kern w:val="2"/>
      <w:sz w:val="32"/>
      <w:szCs w:val="32"/>
    </w:rPr>
  </w:style>
  <w:style w:type="paragraph" w:customStyle="1" w:styleId="1314">
    <w:name w:val="yyh"/>
    <w:basedOn w:val="3"/>
    <w:qFormat/>
    <w:uiPriority w:val="0"/>
    <w:pPr>
      <w:numPr>
        <w:numId w:val="0"/>
      </w:numPr>
      <w:overflowPunct w:val="0"/>
      <w:spacing w:beforeLines="100" w:afterLines="100" w:line="576" w:lineRule="auto"/>
      <w:ind w:left="900" w:hanging="420"/>
      <w:jc w:val="center"/>
    </w:pPr>
    <w:rPr>
      <w:rFonts w:ascii="黑体" w:hAnsi="Times New Roman" w:eastAsia="黑体"/>
      <w:bCs/>
      <w:color w:val="auto"/>
      <w:sz w:val="48"/>
      <w:szCs w:val="48"/>
      <w:lang w:val="zh-CN"/>
    </w:rPr>
  </w:style>
  <w:style w:type="paragraph" w:customStyle="1" w:styleId="1315">
    <w:name w:val="样式 标题 2第一层条h2H22UNDERRUBRIK 1-2R2H21H22H211H23H212H2..."/>
    <w:qFormat/>
    <w:uiPriority w:val="0"/>
    <w:pPr>
      <w:ind w:firstLine="640" w:firstLineChars="200"/>
    </w:pPr>
    <w:rPr>
      <w:rFonts w:ascii="仿宋_GB2312" w:hAnsi="宋体" w:eastAsia="仿宋_GB2312" w:cs="宋体"/>
      <w:kern w:val="2"/>
      <w:sz w:val="32"/>
      <w:lang w:val="en-US" w:eastAsia="zh-CN" w:bidi="ar-SA"/>
    </w:rPr>
  </w:style>
  <w:style w:type="paragraph" w:customStyle="1" w:styleId="1316">
    <w:name w:val="正文符号2"/>
    <w:basedOn w:val="1"/>
    <w:qFormat/>
    <w:uiPriority w:val="0"/>
    <w:pPr>
      <w:numPr>
        <w:ilvl w:val="0"/>
        <w:numId w:val="53"/>
      </w:numPr>
      <w:tabs>
        <w:tab w:val="left" w:pos="360"/>
        <w:tab w:val="left" w:pos="1080"/>
        <w:tab w:val="clear" w:pos="1407"/>
      </w:tabs>
      <w:spacing w:before="100" w:beforeAutospacing="1" w:after="100" w:afterAutospacing="1"/>
      <w:ind w:left="0" w:firstLine="0"/>
    </w:pPr>
    <w:rPr>
      <w:rFonts w:eastAsia="楷体_GB2312"/>
      <w:kern w:val="0"/>
      <w:sz w:val="28"/>
    </w:rPr>
  </w:style>
  <w:style w:type="paragraph" w:customStyle="1" w:styleId="1317">
    <w:name w:val="xiao b"/>
    <w:basedOn w:val="1"/>
    <w:qFormat/>
    <w:uiPriority w:val="0"/>
    <w:pPr>
      <w:jc w:val="center"/>
    </w:pPr>
    <w:rPr>
      <w:rFonts w:eastAsia="黑体"/>
      <w:szCs w:val="20"/>
    </w:rPr>
  </w:style>
  <w:style w:type="paragraph" w:customStyle="1" w:styleId="1318">
    <w:name w:val="main"/>
    <w:basedOn w:val="1"/>
    <w:qFormat/>
    <w:uiPriority w:val="0"/>
    <w:pPr>
      <w:widowControl/>
      <w:spacing w:before="100" w:beforeAutospacing="1" w:after="100" w:afterAutospacing="1"/>
      <w:jc w:val="left"/>
    </w:pPr>
    <w:rPr>
      <w:rFonts w:hint="eastAsia" w:hAnsi="宋体"/>
      <w:kern w:val="0"/>
      <w:sz w:val="18"/>
      <w:szCs w:val="18"/>
    </w:rPr>
  </w:style>
  <w:style w:type="paragraph" w:customStyle="1" w:styleId="1319">
    <w:name w:val="样式 标题 3 + 小四"/>
    <w:basedOn w:val="5"/>
    <w:qFormat/>
    <w:uiPriority w:val="0"/>
    <w:pPr>
      <w:numPr>
        <w:numId w:val="0"/>
      </w:numPr>
      <w:spacing w:before="0" w:after="0"/>
      <w:outlineLvl w:val="9"/>
    </w:pPr>
    <w:rPr>
      <w:rFonts w:ascii="Times New Roman" w:hAnsi="Times New Roman"/>
      <w:sz w:val="21"/>
      <w:szCs w:val="21"/>
      <w:lang w:val="zh-CN"/>
    </w:rPr>
  </w:style>
  <w:style w:type="paragraph" w:customStyle="1" w:styleId="1320">
    <w:name w:val="表号"/>
    <w:basedOn w:val="1"/>
    <w:next w:val="73"/>
    <w:qFormat/>
    <w:uiPriority w:val="0"/>
    <w:pPr>
      <w:keepLines/>
      <w:tabs>
        <w:tab w:val="left" w:pos="360"/>
      </w:tabs>
      <w:autoSpaceDE w:val="0"/>
      <w:autoSpaceDN w:val="0"/>
      <w:adjustRightInd w:val="0"/>
      <w:spacing w:line="360" w:lineRule="auto"/>
      <w:jc w:val="center"/>
    </w:pPr>
    <w:rPr>
      <w:rFonts w:ascii="Arial" w:hAnsi="Arial"/>
      <w:kern w:val="0"/>
      <w:sz w:val="18"/>
      <w:szCs w:val="18"/>
    </w:rPr>
  </w:style>
  <w:style w:type="paragraph" w:customStyle="1" w:styleId="1321">
    <w:name w:val="IN Feature"/>
    <w:basedOn w:val="1"/>
    <w:qFormat/>
    <w:uiPriority w:val="0"/>
    <w:pPr>
      <w:widowControl/>
      <w:snapToGrid w:val="0"/>
      <w:spacing w:before="80" w:after="80" w:line="300" w:lineRule="auto"/>
    </w:pPr>
    <w:rPr>
      <w:rFonts w:ascii="Arial" w:hAnsi="Arial" w:cs="Arial"/>
      <w:kern w:val="0"/>
      <w:szCs w:val="21"/>
    </w:rPr>
  </w:style>
  <w:style w:type="paragraph" w:customStyle="1" w:styleId="1322">
    <w:name w:val="IN Step"/>
    <w:basedOn w:val="1"/>
    <w:qFormat/>
    <w:uiPriority w:val="0"/>
    <w:pPr>
      <w:widowControl/>
      <w:tabs>
        <w:tab w:val="left" w:pos="1134"/>
      </w:tabs>
      <w:snapToGrid w:val="0"/>
      <w:spacing w:before="80" w:after="80" w:line="300" w:lineRule="auto"/>
      <w:ind w:left="1134" w:hanging="907"/>
    </w:pPr>
    <w:rPr>
      <w:rFonts w:ascii="Arial" w:hAnsi="Arial" w:cs="Arial"/>
      <w:kern w:val="0"/>
      <w:szCs w:val="21"/>
    </w:rPr>
  </w:style>
  <w:style w:type="paragraph" w:customStyle="1" w:styleId="1323">
    <w:name w:val="封面华为技术"/>
    <w:basedOn w:val="1"/>
    <w:qFormat/>
    <w:uiPriority w:val="0"/>
    <w:pPr>
      <w:autoSpaceDE w:val="0"/>
      <w:autoSpaceDN w:val="0"/>
      <w:adjustRightInd w:val="0"/>
      <w:spacing w:line="360" w:lineRule="auto"/>
      <w:jc w:val="center"/>
    </w:pPr>
    <w:rPr>
      <w:rFonts w:ascii="Arial" w:hAnsi="Arial" w:eastAsia="黑体"/>
      <w:kern w:val="0"/>
      <w:sz w:val="32"/>
      <w:szCs w:val="32"/>
    </w:rPr>
  </w:style>
  <w:style w:type="paragraph" w:customStyle="1" w:styleId="1324">
    <w:name w:val="表文字"/>
    <w:qFormat/>
    <w:uiPriority w:val="0"/>
    <w:rPr>
      <w:rFonts w:ascii="宋体" w:hAnsi="Times New Roman" w:eastAsia="宋体" w:cs="Calibri"/>
      <w:kern w:val="2"/>
      <w:lang w:val="en-US" w:eastAsia="zh-CN" w:bidi="ar-SA"/>
    </w:rPr>
  </w:style>
  <w:style w:type="paragraph" w:customStyle="1" w:styleId="1325">
    <w:name w:val="ÕýÎÄÎÄ×Ö 1"/>
    <w:basedOn w:val="1"/>
    <w:qFormat/>
    <w:uiPriority w:val="0"/>
    <w:pPr>
      <w:widowControl/>
      <w:overflowPunct w:val="0"/>
      <w:autoSpaceDE w:val="0"/>
      <w:autoSpaceDN w:val="0"/>
      <w:adjustRightInd w:val="0"/>
      <w:spacing w:before="80" w:after="80" w:line="360" w:lineRule="auto"/>
      <w:ind w:left="1134"/>
      <w:textAlignment w:val="baseline"/>
    </w:pPr>
    <w:rPr>
      <w:kern w:val="0"/>
      <w:szCs w:val="20"/>
    </w:rPr>
  </w:style>
  <w:style w:type="paragraph" w:customStyle="1" w:styleId="1326">
    <w:name w:val="表格标题1"/>
    <w:basedOn w:val="1"/>
    <w:qFormat/>
    <w:uiPriority w:val="0"/>
    <w:pPr>
      <w:spacing w:line="400" w:lineRule="exact"/>
      <w:jc w:val="center"/>
    </w:pPr>
    <w:rPr>
      <w:rFonts w:ascii="Arial" w:hAnsi="Arial" w:cs="宋体"/>
      <w:b/>
      <w:bCs/>
      <w:szCs w:val="21"/>
    </w:rPr>
  </w:style>
  <w:style w:type="paragraph" w:customStyle="1" w:styleId="1327">
    <w:name w:val="目录"/>
    <w:basedOn w:val="1"/>
    <w:next w:val="1267"/>
    <w:qFormat/>
    <w:uiPriority w:val="99"/>
    <w:pPr>
      <w:pageBreakBefore/>
      <w:spacing w:before="600" w:after="360" w:line="480" w:lineRule="auto"/>
      <w:jc w:val="center"/>
    </w:pPr>
    <w:rPr>
      <w:rFonts w:eastAsia="楷体_GB2312"/>
      <w:spacing w:val="200"/>
      <w:sz w:val="36"/>
      <w:szCs w:val="32"/>
    </w:rPr>
  </w:style>
  <w:style w:type="paragraph" w:customStyle="1" w:styleId="1328">
    <w:name w:val="Code"/>
    <w:basedOn w:val="1267"/>
    <w:qFormat/>
    <w:uiPriority w:val="99"/>
    <w:pPr>
      <w:shd w:val="clear" w:color="auto" w:fill="F3F3F3"/>
      <w:spacing w:beforeLines="0" w:afterLines="0"/>
      <w:ind w:left="1701"/>
      <w:jc w:val="left"/>
    </w:pPr>
    <w:rPr>
      <w:rFonts w:ascii="Courier New" w:hAnsi="Courier New"/>
      <w:kern w:val="0"/>
      <w:sz w:val="18"/>
      <w:szCs w:val="18"/>
    </w:rPr>
  </w:style>
  <w:style w:type="paragraph" w:customStyle="1" w:styleId="1329">
    <w:name w:val="文件名"/>
    <w:basedOn w:val="1327"/>
    <w:next w:val="1267"/>
    <w:qFormat/>
    <w:uiPriority w:val="99"/>
    <w:rPr>
      <w:spacing w:val="0"/>
      <w:sz w:val="52"/>
      <w:szCs w:val="44"/>
    </w:rPr>
  </w:style>
  <w:style w:type="paragraph" w:customStyle="1" w:styleId="1330">
    <w:name w:val="Code in Table"/>
    <w:basedOn w:val="1"/>
    <w:qFormat/>
    <w:uiPriority w:val="99"/>
    <w:pPr>
      <w:shd w:val="clear" w:color="auto" w:fill="F3F3F3"/>
    </w:pPr>
    <w:rPr>
      <w:rFonts w:ascii="Courier New" w:hAnsi="Courier New"/>
      <w:sz w:val="18"/>
    </w:rPr>
  </w:style>
  <w:style w:type="paragraph" w:customStyle="1" w:styleId="1331">
    <w:name w:val="Char Char1 Char Char"/>
    <w:basedOn w:val="1"/>
    <w:qFormat/>
    <w:uiPriority w:val="99"/>
    <w:pPr>
      <w:tabs>
        <w:tab w:val="left" w:pos="567"/>
      </w:tabs>
      <w:ind w:left="936" w:hanging="680"/>
    </w:pPr>
    <w:rPr>
      <w:rFonts w:ascii="Arial" w:hAnsi="Arial" w:cs="Arial"/>
      <w:sz w:val="20"/>
    </w:rPr>
  </w:style>
  <w:style w:type="paragraph" w:customStyle="1" w:styleId="1332">
    <w:name w:val="样式 标题 3h3H3level_3PIM 3Level 3 HeadHeading 3 - oldsect1.2..."/>
    <w:basedOn w:val="5"/>
    <w:qFormat/>
    <w:uiPriority w:val="99"/>
    <w:pPr>
      <w:numPr>
        <w:numId w:val="0"/>
      </w:numPr>
      <w:tabs>
        <w:tab w:val="left" w:pos="851"/>
      </w:tabs>
      <w:spacing w:before="260" w:after="260" w:line="360" w:lineRule="auto"/>
      <w:ind w:left="851" w:hanging="851"/>
    </w:pPr>
    <w:rPr>
      <w:rFonts w:ascii="Times New Roman" w:hAnsi="Times New Roman" w:cs="宋体"/>
      <w:sz w:val="24"/>
      <w:szCs w:val="20"/>
      <w:lang w:val="zh-CN"/>
    </w:rPr>
  </w:style>
  <w:style w:type="paragraph" w:customStyle="1" w:styleId="1333">
    <w:name w:val="样式 标题 2PIM2H2Heading 2 HiddenHeading 2 CCBSheading 2Titre3..."/>
    <w:basedOn w:val="4"/>
    <w:qFormat/>
    <w:uiPriority w:val="99"/>
    <w:pPr>
      <w:numPr>
        <w:numId w:val="0"/>
      </w:numPr>
      <w:spacing w:before="260" w:after="260" w:line="360" w:lineRule="auto"/>
    </w:pPr>
    <w:rPr>
      <w:rFonts w:cs="宋体"/>
      <w:sz w:val="28"/>
      <w:szCs w:val="20"/>
      <w:lang w:val="zh-CN"/>
    </w:rPr>
  </w:style>
  <w:style w:type="paragraph" w:customStyle="1" w:styleId="1334">
    <w:name w:val="Char Char Char Char Char Char1"/>
    <w:basedOn w:val="1"/>
    <w:qFormat/>
    <w:uiPriority w:val="99"/>
    <w:pPr>
      <w:adjustRightInd w:val="0"/>
      <w:spacing w:line="360" w:lineRule="auto"/>
    </w:pPr>
    <w:rPr>
      <w:kern w:val="0"/>
      <w:szCs w:val="20"/>
    </w:rPr>
  </w:style>
  <w:style w:type="paragraph" w:customStyle="1" w:styleId="1335">
    <w:name w:val="警告"/>
    <w:basedOn w:val="1273"/>
    <w:next w:val="1267"/>
    <w:qFormat/>
    <w:uiPriority w:val="99"/>
    <w:pPr>
      <w:numPr>
        <w:ilvl w:val="0"/>
        <w:numId w:val="54"/>
      </w:numPr>
      <w:shd w:val="clear" w:color="auto" w:fill="FFD1D1"/>
      <w:tabs>
        <w:tab w:val="left" w:pos="-360"/>
        <w:tab w:val="clear" w:pos="1701"/>
      </w:tabs>
      <w:ind w:left="862" w:hanging="420"/>
    </w:pPr>
    <w:rPr>
      <w:kern w:val="0"/>
      <w:sz w:val="20"/>
    </w:rPr>
  </w:style>
  <w:style w:type="paragraph" w:customStyle="1" w:styleId="1336">
    <w:name w:val="Char Char Char Char Char"/>
    <w:basedOn w:val="1"/>
    <w:qFormat/>
    <w:uiPriority w:val="0"/>
    <w:pPr>
      <w:adjustRightInd w:val="0"/>
      <w:snapToGrid w:val="0"/>
      <w:spacing w:line="360" w:lineRule="auto"/>
      <w:ind w:firstLine="200" w:firstLineChars="200"/>
      <w:jc w:val="left"/>
    </w:pPr>
    <w:rPr>
      <w:rFonts w:ascii="Tahoma" w:hAnsi="Tahoma"/>
      <w:szCs w:val="20"/>
    </w:rPr>
  </w:style>
  <w:style w:type="paragraph" w:customStyle="1" w:styleId="1337">
    <w:name w:val="段落1"/>
    <w:basedOn w:val="1"/>
    <w:qFormat/>
    <w:uiPriority w:val="0"/>
    <w:pPr>
      <w:adjustRightInd w:val="0"/>
      <w:snapToGrid w:val="0"/>
      <w:spacing w:beforeLines="80" w:afterLines="20" w:line="288" w:lineRule="auto"/>
      <w:ind w:firstLine="200" w:firstLineChars="200"/>
      <w:jc w:val="left"/>
    </w:pPr>
    <w:rPr>
      <w:color w:val="000000"/>
      <w:szCs w:val="20"/>
    </w:rPr>
  </w:style>
  <w:style w:type="paragraph" w:customStyle="1" w:styleId="1338">
    <w:name w:val="编号3"/>
    <w:qFormat/>
    <w:uiPriority w:val="0"/>
    <w:pPr>
      <w:tabs>
        <w:tab w:val="left" w:pos="771"/>
      </w:tabs>
      <w:adjustRightInd w:val="0"/>
      <w:snapToGrid w:val="0"/>
      <w:spacing w:before="120" w:after="120" w:line="360" w:lineRule="auto"/>
      <w:ind w:left="1021" w:hanging="250"/>
      <w:jc w:val="both"/>
    </w:pPr>
    <w:rPr>
      <w:rFonts w:ascii="Times New Roman" w:hAnsi="Times New Roman" w:eastAsia="仿宋_GB2312" w:cs="Calibri"/>
      <w:kern w:val="2"/>
      <w:sz w:val="24"/>
      <w:szCs w:val="24"/>
      <w:lang w:val="en-US" w:eastAsia="zh-CN" w:bidi="ar-SA"/>
    </w:rPr>
  </w:style>
  <w:style w:type="paragraph" w:customStyle="1" w:styleId="1339">
    <w:name w:val="标题 10"/>
    <w:basedOn w:val="1"/>
    <w:next w:val="1"/>
    <w:qFormat/>
    <w:uiPriority w:val="0"/>
    <w:pPr>
      <w:widowControl/>
      <w:spacing w:line="360" w:lineRule="auto"/>
      <w:jc w:val="left"/>
    </w:pPr>
    <w:rPr>
      <w:rFonts w:ascii="Arial" w:hAnsi="Arial"/>
      <w:b/>
      <w:kern w:val="0"/>
      <w:szCs w:val="21"/>
      <w:lang w:eastAsia="en-US"/>
    </w:rPr>
  </w:style>
  <w:style w:type="paragraph" w:customStyle="1" w:styleId="1340">
    <w:name w:val="CM87"/>
    <w:basedOn w:val="1"/>
    <w:next w:val="1"/>
    <w:qFormat/>
    <w:uiPriority w:val="99"/>
    <w:pPr>
      <w:autoSpaceDE w:val="0"/>
      <w:autoSpaceDN w:val="0"/>
      <w:adjustRightInd w:val="0"/>
      <w:spacing w:after="285"/>
      <w:jc w:val="left"/>
    </w:pPr>
    <w:rPr>
      <w:rFonts w:ascii="Trebuchet MS" w:hAnsi="Trebuchet MS"/>
      <w:kern w:val="0"/>
    </w:rPr>
  </w:style>
  <w:style w:type="paragraph" w:customStyle="1" w:styleId="1341">
    <w:name w:val="CM13"/>
    <w:basedOn w:val="1"/>
    <w:next w:val="1"/>
    <w:qFormat/>
    <w:uiPriority w:val="99"/>
    <w:pPr>
      <w:autoSpaceDE w:val="0"/>
      <w:autoSpaceDN w:val="0"/>
      <w:adjustRightInd w:val="0"/>
      <w:spacing w:line="468" w:lineRule="atLeast"/>
      <w:jc w:val="left"/>
    </w:pPr>
    <w:rPr>
      <w:rFonts w:ascii="Trebuchet MS" w:hAnsi="Trebuchet MS"/>
      <w:kern w:val="0"/>
    </w:rPr>
  </w:style>
  <w:style w:type="paragraph" w:customStyle="1" w:styleId="1342">
    <w:name w:val="CM14"/>
    <w:basedOn w:val="1"/>
    <w:next w:val="1"/>
    <w:qFormat/>
    <w:uiPriority w:val="99"/>
    <w:pPr>
      <w:autoSpaceDE w:val="0"/>
      <w:autoSpaceDN w:val="0"/>
      <w:adjustRightInd w:val="0"/>
      <w:spacing w:line="468" w:lineRule="atLeast"/>
      <w:jc w:val="left"/>
    </w:pPr>
    <w:rPr>
      <w:rFonts w:ascii="Trebuchet MS" w:hAnsi="Trebuchet MS"/>
      <w:kern w:val="0"/>
    </w:rPr>
  </w:style>
  <w:style w:type="paragraph" w:customStyle="1" w:styleId="1343">
    <w:name w:val="CM15"/>
    <w:basedOn w:val="1"/>
    <w:next w:val="1"/>
    <w:qFormat/>
    <w:uiPriority w:val="99"/>
    <w:pPr>
      <w:autoSpaceDE w:val="0"/>
      <w:autoSpaceDN w:val="0"/>
      <w:adjustRightInd w:val="0"/>
      <w:spacing w:line="468" w:lineRule="atLeast"/>
      <w:jc w:val="left"/>
    </w:pPr>
    <w:rPr>
      <w:rFonts w:ascii="Trebuchet MS" w:hAnsi="Trebuchet MS"/>
      <w:kern w:val="0"/>
    </w:rPr>
  </w:style>
  <w:style w:type="paragraph" w:customStyle="1" w:styleId="1344">
    <w:name w:val="CM81"/>
    <w:basedOn w:val="146"/>
    <w:next w:val="146"/>
    <w:qFormat/>
    <w:uiPriority w:val="99"/>
    <w:pPr>
      <w:spacing w:after="178"/>
    </w:pPr>
    <w:rPr>
      <w:rFonts w:ascii="Trebuchet MS" w:hAnsi="Trebuchet MS"/>
      <w:color w:val="auto"/>
    </w:rPr>
  </w:style>
  <w:style w:type="paragraph" w:customStyle="1" w:styleId="1345">
    <w:name w:val="CM86"/>
    <w:basedOn w:val="146"/>
    <w:next w:val="146"/>
    <w:qFormat/>
    <w:uiPriority w:val="99"/>
    <w:pPr>
      <w:spacing w:after="478"/>
    </w:pPr>
    <w:rPr>
      <w:rFonts w:ascii="Trebuchet MS" w:hAnsi="Trebuchet MS"/>
      <w:color w:val="auto"/>
    </w:rPr>
  </w:style>
  <w:style w:type="paragraph" w:customStyle="1" w:styleId="1346">
    <w:name w:val="CM12"/>
    <w:basedOn w:val="146"/>
    <w:next w:val="146"/>
    <w:qFormat/>
    <w:uiPriority w:val="99"/>
    <w:pPr>
      <w:spacing w:line="468" w:lineRule="atLeast"/>
    </w:pPr>
    <w:rPr>
      <w:rFonts w:ascii="Trebuchet MS" w:hAnsi="Trebuchet MS"/>
      <w:color w:val="auto"/>
    </w:rPr>
  </w:style>
  <w:style w:type="paragraph" w:customStyle="1" w:styleId="1347">
    <w:name w:val="CM18"/>
    <w:basedOn w:val="146"/>
    <w:next w:val="146"/>
    <w:qFormat/>
    <w:uiPriority w:val="99"/>
    <w:pPr>
      <w:spacing w:line="468" w:lineRule="atLeast"/>
    </w:pPr>
    <w:rPr>
      <w:rFonts w:ascii="Trebuchet MS" w:hAnsi="Trebuchet MS"/>
      <w:color w:val="auto"/>
    </w:rPr>
  </w:style>
  <w:style w:type="paragraph" w:customStyle="1" w:styleId="1348">
    <w:name w:val="CM100"/>
    <w:basedOn w:val="146"/>
    <w:next w:val="146"/>
    <w:qFormat/>
    <w:uiPriority w:val="99"/>
    <w:pPr>
      <w:spacing w:after="1160"/>
    </w:pPr>
    <w:rPr>
      <w:rFonts w:ascii="Trebuchet MS" w:hAnsi="Trebuchet MS"/>
      <w:color w:val="auto"/>
    </w:rPr>
  </w:style>
  <w:style w:type="paragraph" w:customStyle="1" w:styleId="1349">
    <w:name w:val="CM84"/>
    <w:basedOn w:val="146"/>
    <w:next w:val="146"/>
    <w:qFormat/>
    <w:uiPriority w:val="99"/>
    <w:pPr>
      <w:spacing w:after="63"/>
    </w:pPr>
    <w:rPr>
      <w:rFonts w:ascii="Trebuchet MS" w:hAnsi="Trebuchet MS"/>
      <w:color w:val="auto"/>
    </w:rPr>
  </w:style>
  <w:style w:type="paragraph" w:customStyle="1" w:styleId="1350">
    <w:name w:val="CM85"/>
    <w:basedOn w:val="146"/>
    <w:next w:val="146"/>
    <w:qFormat/>
    <w:uiPriority w:val="99"/>
    <w:pPr>
      <w:spacing w:after="1005"/>
    </w:pPr>
    <w:rPr>
      <w:rFonts w:ascii="Trebuchet MS" w:hAnsi="Trebuchet MS"/>
      <w:color w:val="auto"/>
    </w:rPr>
  </w:style>
  <w:style w:type="paragraph" w:customStyle="1" w:styleId="1351">
    <w:name w:val="CM20"/>
    <w:basedOn w:val="146"/>
    <w:next w:val="146"/>
    <w:qFormat/>
    <w:uiPriority w:val="99"/>
    <w:pPr>
      <w:spacing w:line="468" w:lineRule="atLeast"/>
    </w:pPr>
    <w:rPr>
      <w:rFonts w:ascii="Trebuchet MS" w:hAnsi="Trebuchet MS"/>
      <w:color w:val="auto"/>
    </w:rPr>
  </w:style>
  <w:style w:type="paragraph" w:customStyle="1" w:styleId="1352">
    <w:name w:val="CM21"/>
    <w:basedOn w:val="146"/>
    <w:next w:val="146"/>
    <w:qFormat/>
    <w:uiPriority w:val="99"/>
    <w:pPr>
      <w:spacing w:line="468" w:lineRule="atLeast"/>
    </w:pPr>
    <w:rPr>
      <w:rFonts w:ascii="Trebuchet MS" w:hAnsi="Trebuchet MS"/>
      <w:color w:val="auto"/>
    </w:rPr>
  </w:style>
  <w:style w:type="paragraph" w:customStyle="1" w:styleId="1353">
    <w:name w:val="CM91"/>
    <w:basedOn w:val="146"/>
    <w:next w:val="146"/>
    <w:qFormat/>
    <w:uiPriority w:val="99"/>
    <w:pPr>
      <w:spacing w:after="808"/>
    </w:pPr>
    <w:rPr>
      <w:rFonts w:ascii="Trebuchet MS" w:hAnsi="Trebuchet MS"/>
      <w:color w:val="auto"/>
    </w:rPr>
  </w:style>
  <w:style w:type="paragraph" w:customStyle="1" w:styleId="1354">
    <w:name w:val="CM23"/>
    <w:basedOn w:val="146"/>
    <w:next w:val="146"/>
    <w:qFormat/>
    <w:uiPriority w:val="99"/>
    <w:pPr>
      <w:spacing w:line="471" w:lineRule="atLeast"/>
    </w:pPr>
    <w:rPr>
      <w:rFonts w:ascii="Trebuchet MS" w:hAnsi="Trebuchet MS"/>
      <w:color w:val="auto"/>
    </w:rPr>
  </w:style>
  <w:style w:type="paragraph" w:customStyle="1" w:styleId="1355">
    <w:name w:val="CM24"/>
    <w:basedOn w:val="146"/>
    <w:next w:val="146"/>
    <w:qFormat/>
    <w:uiPriority w:val="99"/>
    <w:pPr>
      <w:spacing w:line="468" w:lineRule="atLeast"/>
    </w:pPr>
    <w:rPr>
      <w:rFonts w:ascii="Trebuchet MS" w:hAnsi="Trebuchet MS"/>
      <w:color w:val="auto"/>
    </w:rPr>
  </w:style>
  <w:style w:type="paragraph" w:customStyle="1" w:styleId="1356">
    <w:name w:val="CM25"/>
    <w:basedOn w:val="146"/>
    <w:next w:val="146"/>
    <w:qFormat/>
    <w:uiPriority w:val="99"/>
    <w:pPr>
      <w:spacing w:line="468" w:lineRule="atLeast"/>
    </w:pPr>
    <w:rPr>
      <w:rFonts w:ascii="Trebuchet MS" w:hAnsi="Trebuchet MS"/>
      <w:color w:val="auto"/>
    </w:rPr>
  </w:style>
  <w:style w:type="paragraph" w:customStyle="1" w:styleId="1357">
    <w:name w:val="CM26"/>
    <w:basedOn w:val="146"/>
    <w:next w:val="146"/>
    <w:qFormat/>
    <w:uiPriority w:val="99"/>
    <w:pPr>
      <w:spacing w:line="468" w:lineRule="atLeast"/>
    </w:pPr>
    <w:rPr>
      <w:rFonts w:ascii="Trebuchet MS" w:hAnsi="Trebuchet MS"/>
      <w:color w:val="auto"/>
    </w:rPr>
  </w:style>
  <w:style w:type="paragraph" w:customStyle="1" w:styleId="1358">
    <w:name w:val="CM92"/>
    <w:basedOn w:val="146"/>
    <w:next w:val="146"/>
    <w:qFormat/>
    <w:uiPriority w:val="99"/>
    <w:pPr>
      <w:spacing w:after="118"/>
    </w:pPr>
    <w:rPr>
      <w:rFonts w:ascii="Trebuchet MS" w:hAnsi="Trebuchet MS"/>
      <w:color w:val="auto"/>
    </w:rPr>
  </w:style>
  <w:style w:type="paragraph" w:customStyle="1" w:styleId="1359">
    <w:name w:val="CM27"/>
    <w:basedOn w:val="146"/>
    <w:next w:val="146"/>
    <w:qFormat/>
    <w:uiPriority w:val="99"/>
    <w:pPr>
      <w:spacing w:line="348" w:lineRule="atLeast"/>
    </w:pPr>
    <w:rPr>
      <w:rFonts w:ascii="Trebuchet MS" w:hAnsi="Trebuchet MS"/>
      <w:color w:val="auto"/>
    </w:rPr>
  </w:style>
  <w:style w:type="paragraph" w:customStyle="1" w:styleId="1360">
    <w:name w:val="CM28"/>
    <w:basedOn w:val="146"/>
    <w:next w:val="146"/>
    <w:qFormat/>
    <w:uiPriority w:val="99"/>
    <w:pPr>
      <w:spacing w:line="346" w:lineRule="atLeast"/>
    </w:pPr>
    <w:rPr>
      <w:rFonts w:ascii="Trebuchet MS" w:hAnsi="Trebuchet MS"/>
      <w:color w:val="auto"/>
    </w:rPr>
  </w:style>
  <w:style w:type="paragraph" w:customStyle="1" w:styleId="1361">
    <w:name w:val="CM93"/>
    <w:basedOn w:val="146"/>
    <w:next w:val="146"/>
    <w:qFormat/>
    <w:uiPriority w:val="99"/>
    <w:pPr>
      <w:spacing w:after="1088"/>
    </w:pPr>
    <w:rPr>
      <w:rFonts w:ascii="Trebuchet MS" w:hAnsi="Trebuchet MS"/>
      <w:color w:val="auto"/>
    </w:rPr>
  </w:style>
  <w:style w:type="paragraph" w:customStyle="1" w:styleId="1362">
    <w:name w:val="CM29"/>
    <w:basedOn w:val="146"/>
    <w:next w:val="146"/>
    <w:qFormat/>
    <w:uiPriority w:val="99"/>
    <w:rPr>
      <w:rFonts w:ascii="Trebuchet MS" w:hAnsi="Trebuchet MS"/>
      <w:color w:val="auto"/>
    </w:rPr>
  </w:style>
  <w:style w:type="paragraph" w:customStyle="1" w:styleId="1363">
    <w:name w:val="CM94"/>
    <w:basedOn w:val="146"/>
    <w:next w:val="146"/>
    <w:qFormat/>
    <w:uiPriority w:val="99"/>
    <w:pPr>
      <w:spacing w:after="77"/>
    </w:pPr>
    <w:rPr>
      <w:rFonts w:ascii="Trebuchet MS" w:hAnsi="Trebuchet MS"/>
      <w:color w:val="auto"/>
    </w:rPr>
  </w:style>
  <w:style w:type="paragraph" w:customStyle="1" w:styleId="1364">
    <w:name w:val="c2"/>
    <w:basedOn w:val="1"/>
    <w:qFormat/>
    <w:uiPriority w:val="0"/>
  </w:style>
  <w:style w:type="paragraph" w:customStyle="1" w:styleId="1365">
    <w:name w:val="CM11"/>
    <w:basedOn w:val="146"/>
    <w:next w:val="146"/>
    <w:qFormat/>
    <w:uiPriority w:val="99"/>
    <w:pPr>
      <w:spacing w:line="468" w:lineRule="atLeast"/>
    </w:pPr>
    <w:rPr>
      <w:rFonts w:ascii="Trebuchet MS" w:hAnsi="Trebuchet MS"/>
      <w:color w:val="auto"/>
    </w:rPr>
  </w:style>
  <w:style w:type="paragraph" w:customStyle="1" w:styleId="1366">
    <w:name w:val="CM1"/>
    <w:basedOn w:val="146"/>
    <w:next w:val="146"/>
    <w:qFormat/>
    <w:uiPriority w:val="99"/>
    <w:rPr>
      <w:rFonts w:ascii="Trebuchet MS" w:hAnsi="Trebuchet MS"/>
      <w:color w:val="auto"/>
    </w:rPr>
  </w:style>
  <w:style w:type="paragraph" w:customStyle="1" w:styleId="1367">
    <w:name w:val="CM32"/>
    <w:basedOn w:val="146"/>
    <w:next w:val="146"/>
    <w:qFormat/>
    <w:uiPriority w:val="99"/>
    <w:pPr>
      <w:spacing w:line="466" w:lineRule="atLeast"/>
    </w:pPr>
    <w:rPr>
      <w:rFonts w:ascii="Trebuchet MS" w:hAnsi="Trebuchet MS"/>
      <w:color w:val="auto"/>
    </w:rPr>
  </w:style>
  <w:style w:type="paragraph" w:customStyle="1" w:styleId="1368">
    <w:name w:val="Char Char2 Char"/>
    <w:basedOn w:val="1"/>
    <w:qFormat/>
    <w:uiPriority w:val="0"/>
    <w:pPr>
      <w:keepNext/>
      <w:keepLines/>
      <w:pageBreakBefore/>
      <w:tabs>
        <w:tab w:val="left" w:pos="845"/>
      </w:tabs>
      <w:ind w:left="845" w:hanging="420"/>
    </w:pPr>
    <w:rPr>
      <w:rFonts w:ascii="Tahoma" w:hAnsi="Tahoma"/>
      <w:szCs w:val="20"/>
    </w:rPr>
  </w:style>
  <w:style w:type="paragraph" w:customStyle="1" w:styleId="1369">
    <w:name w:val="样式 正文首行缩进 + 首行缩进:  1 字符"/>
    <w:basedOn w:val="1"/>
    <w:next w:val="1339"/>
    <w:qFormat/>
    <w:uiPriority w:val="0"/>
    <w:pPr>
      <w:spacing w:after="40"/>
      <w:ind w:firstLine="200" w:firstLineChars="200"/>
    </w:pPr>
    <w:rPr>
      <w:rFonts w:cs="宋体"/>
      <w:szCs w:val="20"/>
    </w:rPr>
  </w:style>
  <w:style w:type="paragraph" w:customStyle="1" w:styleId="1370">
    <w:name w:val="小四 段落 宋体 Char Char Char"/>
    <w:basedOn w:val="19"/>
    <w:semiHidden/>
    <w:qFormat/>
    <w:uiPriority w:val="0"/>
    <w:pPr>
      <w:numPr>
        <w:ilvl w:val="0"/>
        <w:numId w:val="0"/>
      </w:numPr>
      <w:spacing w:line="360" w:lineRule="auto"/>
      <w:ind w:right="-33" w:firstLine="480" w:firstLineChars="200"/>
    </w:pPr>
    <w:rPr>
      <w:kern w:val="2"/>
      <w:szCs w:val="24"/>
    </w:rPr>
  </w:style>
  <w:style w:type="paragraph" w:customStyle="1" w:styleId="1371">
    <w:name w:val="样式 标题 1H1h1Level 1 Topic HeadingH11H12H111H13H112Headin...2"/>
    <w:basedOn w:val="3"/>
    <w:qFormat/>
    <w:uiPriority w:val="0"/>
    <w:pPr>
      <w:pageBreakBefore/>
      <w:numPr>
        <w:numId w:val="0"/>
      </w:numPr>
      <w:adjustRightInd w:val="0"/>
      <w:spacing w:line="360" w:lineRule="auto"/>
      <w:ind w:left="900" w:hanging="420"/>
      <w:jc w:val="center"/>
      <w:textAlignment w:val="baseline"/>
    </w:pPr>
    <w:rPr>
      <w:rFonts w:ascii="黑体" w:hAnsi="宋体" w:eastAsia="黑体" w:cs="宋体"/>
      <w:bCs/>
      <w:color w:val="auto"/>
      <w:kern w:val="0"/>
      <w:sz w:val="36"/>
      <w:szCs w:val="36"/>
      <w:lang w:val="zh-CN"/>
    </w:rPr>
  </w:style>
  <w:style w:type="paragraph" w:customStyle="1" w:styleId="1372">
    <w:name w:val="样式44"/>
    <w:basedOn w:val="5"/>
    <w:link w:val="1373"/>
    <w:qFormat/>
    <w:uiPriority w:val="0"/>
    <w:pPr>
      <w:numPr>
        <w:numId w:val="0"/>
      </w:numPr>
      <w:tabs>
        <w:tab w:val="left" w:pos="864"/>
      </w:tabs>
      <w:spacing w:before="260" w:after="260" w:line="415" w:lineRule="auto"/>
      <w:ind w:left="862" w:hanging="862"/>
      <w:outlineLvl w:val="3"/>
    </w:pPr>
    <w:rPr>
      <w:rFonts w:ascii="Times New Roman" w:hAnsi="Times New Roman"/>
      <w:sz w:val="30"/>
      <w:lang w:val="zh-CN"/>
    </w:rPr>
  </w:style>
  <w:style w:type="character" w:customStyle="1" w:styleId="1373">
    <w:name w:val="样式44 Char"/>
    <w:link w:val="1372"/>
    <w:qFormat/>
    <w:uiPriority w:val="0"/>
    <w:rPr>
      <w:b/>
      <w:bCs/>
      <w:kern w:val="2"/>
      <w:sz w:val="30"/>
      <w:szCs w:val="32"/>
      <w:lang w:val="zh-CN" w:eastAsia="zh-CN"/>
    </w:rPr>
  </w:style>
  <w:style w:type="paragraph" w:customStyle="1" w:styleId="1374">
    <w:name w:val="样式33"/>
    <w:basedOn w:val="5"/>
    <w:link w:val="1375"/>
    <w:qFormat/>
    <w:uiPriority w:val="0"/>
    <w:pPr>
      <w:keepNext w:val="0"/>
      <w:keepLines w:val="0"/>
      <w:numPr>
        <w:numId w:val="0"/>
      </w:numPr>
      <w:spacing w:before="260" w:after="260" w:line="415" w:lineRule="auto"/>
      <w:ind w:left="1077" w:hanging="420"/>
    </w:pPr>
    <w:rPr>
      <w:rFonts w:ascii="Times New Roman" w:hAnsi="Times New Roman"/>
      <w:sz w:val="32"/>
      <w:lang w:val="zh-CN"/>
    </w:rPr>
  </w:style>
  <w:style w:type="character" w:customStyle="1" w:styleId="1375">
    <w:name w:val="样式33 Char"/>
    <w:link w:val="1374"/>
    <w:qFormat/>
    <w:uiPriority w:val="0"/>
    <w:rPr>
      <w:b/>
      <w:bCs/>
      <w:kern w:val="2"/>
      <w:sz w:val="32"/>
      <w:szCs w:val="32"/>
      <w:lang w:val="zh-CN" w:eastAsia="zh-CN"/>
    </w:rPr>
  </w:style>
  <w:style w:type="paragraph" w:customStyle="1" w:styleId="1376">
    <w:name w:val="p15"/>
    <w:basedOn w:val="1"/>
    <w:qFormat/>
    <w:uiPriority w:val="0"/>
    <w:pPr>
      <w:widowControl/>
      <w:spacing w:before="200" w:line="360" w:lineRule="auto"/>
      <w:ind w:firstLine="420"/>
    </w:pPr>
    <w:rPr>
      <w:rFonts w:ascii="Arial" w:hAnsi="Arial" w:cs="Arial"/>
      <w:kern w:val="0"/>
      <w:sz w:val="20"/>
      <w:szCs w:val="20"/>
    </w:rPr>
  </w:style>
  <w:style w:type="paragraph" w:customStyle="1" w:styleId="1377">
    <w:name w:val="_正文段落"/>
    <w:basedOn w:val="1"/>
    <w:link w:val="1378"/>
    <w:qFormat/>
    <w:uiPriority w:val="0"/>
    <w:pPr>
      <w:spacing w:beforeLines="15" w:afterLines="15" w:line="360" w:lineRule="auto"/>
      <w:ind w:firstLine="200" w:firstLineChars="200"/>
    </w:pPr>
    <w:rPr>
      <w:color w:val="000000"/>
      <w:kern w:val="0"/>
      <w:lang w:val="zh-CN"/>
    </w:rPr>
  </w:style>
  <w:style w:type="character" w:customStyle="1" w:styleId="1378">
    <w:name w:val="_正文段落 Char Char"/>
    <w:link w:val="1377"/>
    <w:qFormat/>
    <w:uiPriority w:val="0"/>
    <w:rPr>
      <w:color w:val="000000"/>
      <w:sz w:val="24"/>
      <w:szCs w:val="24"/>
      <w:lang w:val="zh-CN" w:eastAsia="zh-CN"/>
    </w:rPr>
  </w:style>
  <w:style w:type="paragraph" w:customStyle="1" w:styleId="1379">
    <w:name w:val="图标"/>
    <w:basedOn w:val="1"/>
    <w:next w:val="1"/>
    <w:qFormat/>
    <w:uiPriority w:val="0"/>
    <w:pPr>
      <w:tabs>
        <w:tab w:val="left" w:pos="360"/>
        <w:tab w:val="left" w:pos="567"/>
      </w:tabs>
      <w:autoSpaceDE w:val="0"/>
      <w:autoSpaceDN w:val="0"/>
      <w:adjustRightInd w:val="0"/>
      <w:snapToGrid w:val="0"/>
      <w:spacing w:before="120" w:after="120" w:line="320" w:lineRule="atLeast"/>
      <w:jc w:val="center"/>
      <w:textAlignment w:val="baseline"/>
    </w:pPr>
    <w:rPr>
      <w:rFonts w:eastAsia="仿宋_GB2312"/>
      <w:kern w:val="0"/>
      <w:szCs w:val="20"/>
    </w:rPr>
  </w:style>
  <w:style w:type="paragraph" w:customStyle="1" w:styleId="1380">
    <w:name w:val="正文 样式"/>
    <w:basedOn w:val="1"/>
    <w:link w:val="1381"/>
    <w:qFormat/>
    <w:uiPriority w:val="0"/>
    <w:pPr>
      <w:spacing w:line="360" w:lineRule="auto"/>
      <w:ind w:firstLine="480" w:firstLineChars="200"/>
    </w:pPr>
    <w:rPr>
      <w:rFonts w:ascii="Calibri" w:hAnsi="Calibri" w:eastAsia="仿宋"/>
      <w:sz w:val="28"/>
      <w:szCs w:val="20"/>
      <w:lang w:val="zh-CN"/>
    </w:rPr>
  </w:style>
  <w:style w:type="character" w:customStyle="1" w:styleId="1381">
    <w:name w:val="正文 样式 Char"/>
    <w:link w:val="1380"/>
    <w:qFormat/>
    <w:locked/>
    <w:uiPriority w:val="0"/>
    <w:rPr>
      <w:rFonts w:ascii="Calibri" w:hAnsi="Calibri" w:eastAsia="仿宋"/>
      <w:kern w:val="2"/>
      <w:sz w:val="28"/>
      <w:lang w:val="zh-CN" w:eastAsia="zh-CN"/>
    </w:rPr>
  </w:style>
  <w:style w:type="paragraph" w:customStyle="1" w:styleId="1382">
    <w:name w:val="ye normal"/>
    <w:basedOn w:val="1"/>
    <w:link w:val="1383"/>
    <w:qFormat/>
    <w:uiPriority w:val="0"/>
    <w:pPr>
      <w:adjustRightInd w:val="0"/>
      <w:spacing w:line="360" w:lineRule="auto"/>
      <w:ind w:firstLine="480" w:firstLineChars="200"/>
      <w:textAlignment w:val="baseline"/>
    </w:pPr>
    <w:rPr>
      <w:rFonts w:hAnsi="宋体"/>
      <w:kern w:val="0"/>
      <w:lang w:val="zh-CN"/>
    </w:rPr>
  </w:style>
  <w:style w:type="character" w:customStyle="1" w:styleId="1383">
    <w:name w:val="ye normal Char"/>
    <w:link w:val="1382"/>
    <w:qFormat/>
    <w:uiPriority w:val="0"/>
    <w:rPr>
      <w:rFonts w:ascii="宋体" w:hAnsi="宋体"/>
      <w:sz w:val="24"/>
      <w:szCs w:val="24"/>
      <w:lang w:val="zh-CN" w:eastAsia="zh-CN"/>
    </w:rPr>
  </w:style>
  <w:style w:type="paragraph" w:customStyle="1" w:styleId="1384">
    <w:name w:val="正文首行缩进两字"/>
    <w:link w:val="1385"/>
    <w:qFormat/>
    <w:uiPriority w:val="0"/>
    <w:pPr>
      <w:spacing w:afterLines="50" w:line="300" w:lineRule="auto"/>
      <w:ind w:firstLine="480" w:firstLineChars="200"/>
    </w:pPr>
    <w:rPr>
      <w:rFonts w:ascii="Calibri" w:hAnsi="Calibri" w:eastAsia="宋体" w:cs="Times New Roman"/>
      <w:sz w:val="24"/>
      <w:szCs w:val="24"/>
      <w:lang w:val="en-US" w:eastAsia="zh-CN" w:bidi="ar-SA"/>
    </w:rPr>
  </w:style>
  <w:style w:type="character" w:customStyle="1" w:styleId="1385">
    <w:name w:val="正文首行缩进两字 Char"/>
    <w:link w:val="1384"/>
    <w:qFormat/>
    <w:uiPriority w:val="0"/>
    <w:rPr>
      <w:rFonts w:ascii="Calibri" w:hAnsi="Calibri"/>
      <w:sz w:val="24"/>
      <w:szCs w:val="24"/>
    </w:rPr>
  </w:style>
  <w:style w:type="paragraph" w:customStyle="1" w:styleId="1386">
    <w:name w:val="编号，小四"/>
    <w:basedOn w:val="1"/>
    <w:qFormat/>
    <w:uiPriority w:val="0"/>
    <w:pPr>
      <w:numPr>
        <w:ilvl w:val="0"/>
        <w:numId w:val="55"/>
      </w:numPr>
      <w:tabs>
        <w:tab w:val="left" w:pos="360"/>
      </w:tabs>
      <w:spacing w:line="360" w:lineRule="auto"/>
      <w:ind w:left="0"/>
    </w:pPr>
    <w:rPr>
      <w:rFonts w:ascii="Verdana" w:hAnsi="Verdana" w:cs="宋体"/>
      <w:szCs w:val="20"/>
    </w:rPr>
  </w:style>
  <w:style w:type="character" w:customStyle="1" w:styleId="1387">
    <w:name w:val="表 Char"/>
    <w:qFormat/>
    <w:uiPriority w:val="0"/>
    <w:rPr>
      <w:rFonts w:ascii="Calibri" w:hAnsi="Calibri"/>
      <w:kern w:val="2"/>
      <w:sz w:val="21"/>
      <w:szCs w:val="21"/>
      <w:lang w:val="zh-CN" w:eastAsia="zh-CN"/>
    </w:rPr>
  </w:style>
  <w:style w:type="paragraph" w:customStyle="1" w:styleId="1388">
    <w:name w:val="正文1.25"/>
    <w:basedOn w:val="1"/>
    <w:qFormat/>
    <w:uiPriority w:val="0"/>
    <w:pPr>
      <w:spacing w:line="300" w:lineRule="auto"/>
      <w:ind w:firstLine="480" w:firstLineChars="200"/>
    </w:pPr>
    <w:rPr>
      <w:szCs w:val="20"/>
    </w:rPr>
  </w:style>
  <w:style w:type="paragraph" w:customStyle="1" w:styleId="1389">
    <w:name w:val="图表1.2"/>
    <w:basedOn w:val="1"/>
    <w:next w:val="1"/>
    <w:qFormat/>
    <w:uiPriority w:val="0"/>
    <w:pPr>
      <w:keepLines/>
      <w:spacing w:beforeLines="50" w:line="360" w:lineRule="auto"/>
      <w:jc w:val="center"/>
    </w:pPr>
    <w:rPr>
      <w:rFonts w:ascii="Calibri" w:hAnsi="Calibri" w:eastAsia="仿宋"/>
      <w:szCs w:val="21"/>
    </w:rPr>
  </w:style>
  <w:style w:type="paragraph" w:customStyle="1" w:styleId="1390">
    <w:name w:val="样式  宋体 首行缩进:  2 字符"/>
    <w:basedOn w:val="1"/>
    <w:qFormat/>
    <w:uiPriority w:val="0"/>
    <w:pPr>
      <w:ind w:firstLine="480" w:firstLineChars="200"/>
    </w:pPr>
    <w:rPr>
      <w:rFonts w:hAnsi="宋体" w:cs="宋体"/>
      <w:szCs w:val="20"/>
    </w:rPr>
  </w:style>
  <w:style w:type="character" w:customStyle="1" w:styleId="1391">
    <w:name w:val="表格样式 Char"/>
    <w:qFormat/>
    <w:uiPriority w:val="0"/>
    <w:rPr>
      <w:rFonts w:ascii="Calibri" w:hAnsi="Calibri" w:eastAsia="微软雅黑"/>
      <w:kern w:val="2"/>
      <w:sz w:val="21"/>
      <w:szCs w:val="22"/>
      <w:lang w:val="zh-CN" w:eastAsia="zh-CN"/>
    </w:rPr>
  </w:style>
  <w:style w:type="paragraph" w:customStyle="1" w:styleId="1392">
    <w:name w:val="一级要点"/>
    <w:basedOn w:val="1"/>
    <w:link w:val="1393"/>
    <w:qFormat/>
    <w:uiPriority w:val="0"/>
    <w:pPr>
      <w:spacing w:line="480" w:lineRule="exact"/>
      <w:jc w:val="left"/>
    </w:pPr>
    <w:rPr>
      <w:rFonts w:hAnsi="宋体" w:eastAsia="微软雅黑"/>
      <w:b/>
      <w:szCs w:val="26"/>
      <w:lang w:val="zh-CN"/>
    </w:rPr>
  </w:style>
  <w:style w:type="character" w:customStyle="1" w:styleId="1393">
    <w:name w:val="一级要点 Char"/>
    <w:link w:val="1392"/>
    <w:qFormat/>
    <w:uiPriority w:val="0"/>
    <w:rPr>
      <w:rFonts w:ascii="宋体" w:hAnsi="宋体" w:eastAsia="微软雅黑"/>
      <w:b/>
      <w:kern w:val="2"/>
      <w:sz w:val="24"/>
      <w:szCs w:val="26"/>
      <w:lang w:val="zh-CN" w:eastAsia="zh-CN"/>
    </w:rPr>
  </w:style>
  <w:style w:type="paragraph" w:customStyle="1" w:styleId="1394">
    <w:name w:val="图片样式"/>
    <w:basedOn w:val="1"/>
    <w:link w:val="1395"/>
    <w:qFormat/>
    <w:uiPriority w:val="0"/>
    <w:pPr>
      <w:jc w:val="center"/>
    </w:pPr>
    <w:rPr>
      <w:rFonts w:ascii="Calibri" w:hAnsi="Calibri" w:eastAsia="微软雅黑"/>
      <w:szCs w:val="22"/>
      <w:lang w:val="zh-CN"/>
    </w:rPr>
  </w:style>
  <w:style w:type="character" w:customStyle="1" w:styleId="1395">
    <w:name w:val="图片样式 Char"/>
    <w:link w:val="1394"/>
    <w:qFormat/>
    <w:uiPriority w:val="0"/>
    <w:rPr>
      <w:rFonts w:ascii="Calibri" w:hAnsi="Calibri" w:eastAsia="微软雅黑"/>
      <w:kern w:val="2"/>
      <w:sz w:val="24"/>
      <w:szCs w:val="22"/>
      <w:lang w:val="zh-CN" w:eastAsia="zh-CN"/>
    </w:rPr>
  </w:style>
  <w:style w:type="paragraph" w:customStyle="1" w:styleId="1396">
    <w:name w:val="图示名称"/>
    <w:basedOn w:val="1"/>
    <w:link w:val="1397"/>
    <w:qFormat/>
    <w:uiPriority w:val="0"/>
    <w:pPr>
      <w:spacing w:line="480" w:lineRule="exact"/>
      <w:jc w:val="center"/>
    </w:pPr>
    <w:rPr>
      <w:rFonts w:ascii="Calibri" w:hAnsi="Calibri" w:eastAsia="微软雅黑"/>
      <w:szCs w:val="21"/>
      <w:lang w:val="zh-CN"/>
    </w:rPr>
  </w:style>
  <w:style w:type="character" w:customStyle="1" w:styleId="1397">
    <w:name w:val="图示名称 Char"/>
    <w:link w:val="1396"/>
    <w:qFormat/>
    <w:uiPriority w:val="0"/>
    <w:rPr>
      <w:rFonts w:ascii="Calibri" w:hAnsi="Calibri" w:eastAsia="微软雅黑"/>
      <w:kern w:val="2"/>
      <w:sz w:val="21"/>
      <w:szCs w:val="21"/>
      <w:lang w:val="zh-CN" w:eastAsia="zh-CN"/>
    </w:rPr>
  </w:style>
  <w:style w:type="character" w:customStyle="1" w:styleId="1398">
    <w:name w:val="已访问的超链接1"/>
    <w:semiHidden/>
    <w:unhideWhenUsed/>
    <w:qFormat/>
    <w:uiPriority w:val="99"/>
    <w:rPr>
      <w:color w:val="800080"/>
      <w:u w:val="single"/>
    </w:rPr>
  </w:style>
  <w:style w:type="character" w:customStyle="1" w:styleId="1399">
    <w:name w:val="占位符文本1"/>
    <w:semiHidden/>
    <w:qFormat/>
    <w:uiPriority w:val="99"/>
    <w:rPr>
      <w:color w:val="808080"/>
    </w:rPr>
  </w:style>
  <w:style w:type="character" w:customStyle="1" w:styleId="1400">
    <w:name w:val="明显参考1"/>
    <w:qFormat/>
    <w:uiPriority w:val="32"/>
    <w:rPr>
      <w:b/>
      <w:bCs/>
      <w:smallCaps/>
      <w:color w:val="C0504D"/>
      <w:spacing w:val="5"/>
      <w:u w:val="single"/>
    </w:rPr>
  </w:style>
  <w:style w:type="character" w:customStyle="1" w:styleId="1401">
    <w:name w:val="body1"/>
    <w:qFormat/>
    <w:uiPriority w:val="0"/>
    <w:rPr>
      <w:rFonts w:hint="default" w:ascii="Arial" w:hAnsi="Arial"/>
      <w:color w:val="333333"/>
      <w:sz w:val="18"/>
    </w:rPr>
  </w:style>
  <w:style w:type="character" w:customStyle="1" w:styleId="1402">
    <w:name w:val="PDGInstructions Char2"/>
    <w:qFormat/>
    <w:uiPriority w:val="0"/>
    <w:rPr>
      <w:rFonts w:ascii="Garamond" w:hAnsi="Garamond" w:eastAsia="宋体"/>
      <w:color w:val="FF0000"/>
      <w:sz w:val="24"/>
      <w:lang w:val="en-US" w:eastAsia="en-US"/>
    </w:rPr>
  </w:style>
  <w:style w:type="character" w:customStyle="1" w:styleId="1403">
    <w:name w:val="Body Char2"/>
    <w:qFormat/>
    <w:uiPriority w:val="0"/>
    <w:rPr>
      <w:rFonts w:ascii="Garamond" w:hAnsi="Garamond" w:eastAsia="宋体"/>
      <w:sz w:val="24"/>
      <w:lang w:val="en-US" w:eastAsia="en-US"/>
    </w:rPr>
  </w:style>
  <w:style w:type="character" w:customStyle="1" w:styleId="1404">
    <w:name w:val="Bulleted Diamond Char"/>
    <w:qFormat/>
    <w:uiPriority w:val="0"/>
    <w:rPr>
      <w:rFonts w:ascii="Garamond" w:hAnsi="Garamond" w:eastAsia="宋体"/>
      <w:sz w:val="24"/>
      <w:lang w:val="en-US" w:eastAsia="en-US"/>
    </w:rPr>
  </w:style>
  <w:style w:type="character" w:customStyle="1" w:styleId="1405">
    <w:name w:val="text_031"/>
    <w:qFormat/>
    <w:uiPriority w:val="0"/>
    <w:rPr>
      <w:rFonts w:hint="default" w:ascii="ˎ̥" w:hAnsi="ˎ̥"/>
      <w:b/>
      <w:bCs/>
      <w:color w:val="444444"/>
      <w:sz w:val="19"/>
      <w:szCs w:val="19"/>
    </w:rPr>
  </w:style>
  <w:style w:type="character" w:customStyle="1" w:styleId="1406">
    <w:name w:val="title11"/>
    <w:qFormat/>
    <w:uiPriority w:val="0"/>
    <w:rPr>
      <w:color w:val="FF6347"/>
    </w:rPr>
  </w:style>
  <w:style w:type="character" w:customStyle="1" w:styleId="1407">
    <w:name w:val="超链接3"/>
    <w:qFormat/>
    <w:uiPriority w:val="0"/>
    <w:rPr>
      <w:rFonts w:hint="default" w:ascii="Arial" w:hAnsi="Arial" w:cs="Arial"/>
      <w:color w:val="FFFFFF"/>
      <w:sz w:val="20"/>
      <w:szCs w:val="20"/>
      <w:u w:val="none"/>
    </w:rPr>
  </w:style>
  <w:style w:type="character" w:customStyle="1" w:styleId="1408">
    <w:name w:val="tw4winMark"/>
    <w:qFormat/>
    <w:uiPriority w:val="0"/>
    <w:rPr>
      <w:rFonts w:ascii="Courier New" w:hAnsi="Courier New" w:cs="Courier New"/>
      <w:vanish/>
      <w:color w:val="800080"/>
      <w:sz w:val="24"/>
      <w:szCs w:val="24"/>
      <w:vertAlign w:val="subscript"/>
    </w:rPr>
  </w:style>
  <w:style w:type="character" w:customStyle="1" w:styleId="1409">
    <w:name w:val="point_normal"/>
    <w:basedOn w:val="81"/>
    <w:qFormat/>
    <w:uiPriority w:val="0"/>
  </w:style>
  <w:style w:type="character" w:customStyle="1" w:styleId="1410">
    <w:name w:val="l0v4head1"/>
    <w:qFormat/>
    <w:uiPriority w:val="0"/>
    <w:rPr>
      <w:rFonts w:hint="default" w:ascii="Arial" w:hAnsi="Arial" w:cs="Arial"/>
      <w:b/>
      <w:bCs/>
      <w:sz w:val="35"/>
      <w:szCs w:val="35"/>
    </w:rPr>
  </w:style>
  <w:style w:type="character" w:customStyle="1" w:styleId="1411">
    <w:name w:val="明显参考11"/>
    <w:qFormat/>
    <w:uiPriority w:val="32"/>
    <w:rPr>
      <w:b/>
      <w:bCs/>
      <w:smallCaps/>
      <w:color w:val="FF0000"/>
      <w:spacing w:val="5"/>
      <w:u w:val="double"/>
    </w:rPr>
  </w:style>
  <w:style w:type="character" w:customStyle="1" w:styleId="1412">
    <w:name w:val="Char Char9"/>
    <w:qFormat/>
    <w:uiPriority w:val="0"/>
    <w:rPr>
      <w:rFonts w:ascii="宋体" w:hAnsi="宋体"/>
      <w:kern w:val="2"/>
      <w:sz w:val="21"/>
      <w:szCs w:val="24"/>
    </w:rPr>
  </w:style>
  <w:style w:type="character" w:customStyle="1" w:styleId="1413">
    <w:name w:val="批注文字 Char1"/>
    <w:qFormat/>
    <w:uiPriority w:val="0"/>
    <w:rPr>
      <w:kern w:val="2"/>
      <w:sz w:val="21"/>
      <w:szCs w:val="21"/>
    </w:rPr>
  </w:style>
  <w:style w:type="character" w:customStyle="1" w:styleId="1414">
    <w:name w:val="批注主题 Char1"/>
    <w:qFormat/>
    <w:uiPriority w:val="0"/>
    <w:rPr>
      <w:b/>
      <w:bCs/>
      <w:kern w:val="2"/>
      <w:sz w:val="21"/>
      <w:szCs w:val="24"/>
    </w:rPr>
  </w:style>
  <w:style w:type="character" w:customStyle="1" w:styleId="1415">
    <w:name w:val="正文格式 Char Char"/>
    <w:qFormat/>
    <w:uiPriority w:val="0"/>
    <w:rPr>
      <w:rFonts w:ascii="宋体" w:hAnsi="宋体" w:eastAsia="宋体" w:cs="宋体"/>
      <w:sz w:val="24"/>
      <w:lang w:val="en-US" w:eastAsia="zh-CN" w:bidi="ar-SA"/>
    </w:rPr>
  </w:style>
  <w:style w:type="character" w:customStyle="1" w:styleId="1416">
    <w:name w:val="style3"/>
    <w:qFormat/>
    <w:uiPriority w:val="0"/>
  </w:style>
  <w:style w:type="character" w:customStyle="1" w:styleId="1417">
    <w:name w:val="着重 Char Char"/>
    <w:qFormat/>
    <w:uiPriority w:val="0"/>
    <w:rPr>
      <w:rFonts w:ascii="宋体" w:hAnsi="宋体" w:cs="宋体"/>
      <w:b/>
      <w:bCs/>
      <w:kern w:val="2"/>
      <w:sz w:val="24"/>
      <w:szCs w:val="24"/>
      <w:u w:val="single"/>
    </w:rPr>
  </w:style>
  <w:style w:type="character" w:customStyle="1" w:styleId="1418">
    <w:name w:val="css31"/>
    <w:qFormat/>
    <w:uiPriority w:val="0"/>
    <w:rPr>
      <w:rFonts w:hint="default" w:ascii="ˎ̥" w:hAnsi="ˎ̥"/>
      <w:color w:val="7B6623"/>
      <w:sz w:val="17"/>
      <w:szCs w:val="17"/>
      <w:u w:val="none"/>
    </w:rPr>
  </w:style>
  <w:style w:type="character" w:customStyle="1" w:styleId="1419">
    <w:name w:val="apple-style-span"/>
    <w:basedOn w:val="81"/>
    <w:qFormat/>
    <w:uiPriority w:val="0"/>
  </w:style>
  <w:style w:type="character" w:customStyle="1" w:styleId="1420">
    <w:name w:val="texttitle1"/>
    <w:qFormat/>
    <w:uiPriority w:val="0"/>
    <w:rPr>
      <w:rFonts w:hint="default"/>
      <w:color w:val="FF0000"/>
      <w:sz w:val="21"/>
    </w:rPr>
  </w:style>
  <w:style w:type="character" w:customStyle="1" w:styleId="1421">
    <w:name w:val="clblack1"/>
    <w:qFormat/>
    <w:uiPriority w:val="0"/>
    <w:rPr>
      <w:color w:val="333333"/>
    </w:rPr>
  </w:style>
  <w:style w:type="character" w:customStyle="1" w:styleId="1422">
    <w:name w:val="e"/>
    <w:basedOn w:val="81"/>
    <w:qFormat/>
    <w:uiPriority w:val="0"/>
  </w:style>
  <w:style w:type="character" w:customStyle="1" w:styleId="1423">
    <w:name w:val="C3+图纸标题 Char Char"/>
    <w:qFormat/>
    <w:uiPriority w:val="0"/>
    <w:rPr>
      <w:rFonts w:ascii="Arial" w:hAnsi="Arial" w:eastAsia="黑体" w:cs="Arial"/>
      <w:kern w:val="2"/>
      <w:sz w:val="24"/>
      <w:szCs w:val="24"/>
    </w:rPr>
  </w:style>
  <w:style w:type="character" w:customStyle="1" w:styleId="1424">
    <w:name w:val="e1"/>
    <w:qFormat/>
    <w:uiPriority w:val="0"/>
    <w:rPr>
      <w:rFonts w:hint="default" w:ascii="Arial" w:hAnsi="Arial"/>
      <w:sz w:val="18"/>
    </w:rPr>
  </w:style>
  <w:style w:type="character" w:customStyle="1" w:styleId="1425">
    <w:name w:val="text001"/>
    <w:basedOn w:val="81"/>
    <w:qFormat/>
    <w:uiPriority w:val="0"/>
  </w:style>
  <w:style w:type="character" w:customStyle="1" w:styleId="1426">
    <w:name w:val="hei12b1"/>
    <w:qFormat/>
    <w:uiPriority w:val="0"/>
    <w:rPr>
      <w:b/>
      <w:bCs/>
      <w:color w:val="000000"/>
      <w:sz w:val="18"/>
      <w:szCs w:val="18"/>
    </w:rPr>
  </w:style>
  <w:style w:type="character" w:customStyle="1" w:styleId="1427">
    <w:name w:val="unnamed11"/>
    <w:qFormat/>
    <w:uiPriority w:val="0"/>
    <w:rPr>
      <w:rFonts w:hint="default"/>
      <w:color w:val="004080"/>
      <w:sz w:val="28"/>
      <w:szCs w:val="28"/>
    </w:rPr>
  </w:style>
  <w:style w:type="character" w:customStyle="1" w:styleId="1428">
    <w:name w:val="Item Step in Table Char Char"/>
    <w:qFormat/>
    <w:uiPriority w:val="0"/>
    <w:rPr>
      <w:rFonts w:ascii="Arial" w:hAnsi="Arial" w:cs="Arial"/>
      <w:sz w:val="18"/>
      <w:szCs w:val="18"/>
    </w:rPr>
  </w:style>
  <w:style w:type="character" w:customStyle="1" w:styleId="1429">
    <w:name w:val="段落 Char Char"/>
    <w:qFormat/>
    <w:uiPriority w:val="0"/>
    <w:rPr>
      <w:rFonts w:eastAsia="仿宋_GB2312"/>
      <w:kern w:val="2"/>
      <w:sz w:val="24"/>
      <w:lang w:val="en-US" w:eastAsia="zh-CN" w:bidi="ar-SA"/>
    </w:rPr>
  </w:style>
  <w:style w:type="character" w:customStyle="1" w:styleId="1430">
    <w:name w:val="style14"/>
    <w:basedOn w:val="81"/>
    <w:qFormat/>
    <w:uiPriority w:val="0"/>
  </w:style>
  <w:style w:type="character" w:customStyle="1" w:styleId="1431">
    <w:name w:val="标题 2 Char2"/>
    <w:semiHidden/>
    <w:qFormat/>
    <w:uiPriority w:val="0"/>
    <w:rPr>
      <w:rFonts w:ascii="Cambria" w:hAnsi="Cambria" w:eastAsia="宋体" w:cs="Times New Roman"/>
      <w:b/>
      <w:bCs/>
      <w:kern w:val="2"/>
      <w:sz w:val="32"/>
      <w:szCs w:val="32"/>
    </w:rPr>
  </w:style>
  <w:style w:type="character" w:customStyle="1" w:styleId="1432">
    <w:name w:val="f141"/>
    <w:qFormat/>
    <w:uiPriority w:val="0"/>
    <w:rPr>
      <w:sz w:val="21"/>
    </w:rPr>
  </w:style>
  <w:style w:type="character" w:customStyle="1" w:styleId="1433">
    <w:name w:val="标题 7 Char1"/>
    <w:qFormat/>
    <w:uiPriority w:val="0"/>
    <w:rPr>
      <w:rFonts w:ascii="Times New Roman" w:hAnsi="Times New Roman" w:cs="Times New Roman"/>
      <w:b/>
      <w:bCs/>
      <w:kern w:val="2"/>
      <w:sz w:val="24"/>
      <w:szCs w:val="24"/>
    </w:rPr>
  </w:style>
  <w:style w:type="character" w:customStyle="1" w:styleId="1434">
    <w:name w:val="页眉 Char1"/>
    <w:qFormat/>
    <w:uiPriority w:val="0"/>
    <w:rPr>
      <w:kern w:val="2"/>
      <w:sz w:val="18"/>
      <w:szCs w:val="18"/>
    </w:rPr>
  </w:style>
  <w:style w:type="character" w:customStyle="1" w:styleId="1435">
    <w:name w:val="页脚 Char1"/>
    <w:qFormat/>
    <w:uiPriority w:val="0"/>
    <w:rPr>
      <w:kern w:val="2"/>
      <w:sz w:val="18"/>
      <w:szCs w:val="18"/>
    </w:rPr>
  </w:style>
  <w:style w:type="character" w:customStyle="1" w:styleId="1436">
    <w:name w:val="正文文本 Char1"/>
    <w:qFormat/>
    <w:uiPriority w:val="99"/>
    <w:rPr>
      <w:kern w:val="2"/>
      <w:sz w:val="21"/>
      <w:szCs w:val="24"/>
    </w:rPr>
  </w:style>
  <w:style w:type="character" w:customStyle="1" w:styleId="1437">
    <w:name w:val="正文文本缩进 Char1"/>
    <w:qFormat/>
    <w:uiPriority w:val="0"/>
    <w:rPr>
      <w:kern w:val="2"/>
      <w:sz w:val="21"/>
      <w:szCs w:val="24"/>
    </w:rPr>
  </w:style>
  <w:style w:type="character" w:customStyle="1" w:styleId="1438">
    <w:name w:val="正文文本缩进 3 Char1"/>
    <w:semiHidden/>
    <w:qFormat/>
    <w:uiPriority w:val="0"/>
    <w:rPr>
      <w:kern w:val="2"/>
      <w:sz w:val="16"/>
      <w:szCs w:val="16"/>
    </w:rPr>
  </w:style>
  <w:style w:type="character" w:customStyle="1" w:styleId="1439">
    <w:name w:val="普通文字 Char2"/>
    <w:semiHidden/>
    <w:qFormat/>
    <w:uiPriority w:val="99"/>
    <w:rPr>
      <w:rFonts w:ascii="宋体" w:hAnsi="Courier New" w:cs="Courier New"/>
      <w:kern w:val="2"/>
      <w:sz w:val="21"/>
      <w:szCs w:val="21"/>
    </w:rPr>
  </w:style>
  <w:style w:type="character" w:customStyle="1" w:styleId="1440">
    <w:name w:val="文档结构图 Char1"/>
    <w:semiHidden/>
    <w:qFormat/>
    <w:uiPriority w:val="0"/>
    <w:rPr>
      <w:rFonts w:ascii="宋体"/>
      <w:kern w:val="2"/>
      <w:sz w:val="18"/>
      <w:szCs w:val="18"/>
    </w:rPr>
  </w:style>
  <w:style w:type="character" w:customStyle="1" w:styleId="1441">
    <w:name w:val="批注框文本 Char1"/>
    <w:semiHidden/>
    <w:qFormat/>
    <w:uiPriority w:val="0"/>
    <w:rPr>
      <w:kern w:val="2"/>
      <w:sz w:val="18"/>
      <w:szCs w:val="18"/>
    </w:rPr>
  </w:style>
  <w:style w:type="character" w:customStyle="1" w:styleId="1442">
    <w:name w:val="正文文本缩进 2 Char1"/>
    <w:semiHidden/>
    <w:qFormat/>
    <w:uiPriority w:val="0"/>
    <w:rPr>
      <w:kern w:val="2"/>
      <w:sz w:val="21"/>
      <w:szCs w:val="24"/>
    </w:rPr>
  </w:style>
  <w:style w:type="character" w:customStyle="1" w:styleId="1443">
    <w:name w:val="正文文本 2 Char1"/>
    <w:semiHidden/>
    <w:qFormat/>
    <w:uiPriority w:val="99"/>
    <w:rPr>
      <w:kern w:val="2"/>
      <w:sz w:val="21"/>
      <w:szCs w:val="24"/>
    </w:rPr>
  </w:style>
  <w:style w:type="character" w:customStyle="1" w:styleId="1444">
    <w:name w:val="正文文本 3 Char1"/>
    <w:qFormat/>
    <w:uiPriority w:val="0"/>
    <w:rPr>
      <w:kern w:val="2"/>
      <w:sz w:val="16"/>
      <w:szCs w:val="16"/>
    </w:rPr>
  </w:style>
  <w:style w:type="character" w:customStyle="1" w:styleId="1445">
    <w:name w:val="正文首行缩进 Char1"/>
    <w:semiHidden/>
    <w:qFormat/>
    <w:uiPriority w:val="0"/>
  </w:style>
  <w:style w:type="character" w:customStyle="1" w:styleId="1446">
    <w:name w:val="Footer-Even Char Char"/>
    <w:qFormat/>
    <w:uiPriority w:val="0"/>
    <w:rPr>
      <w:rFonts w:ascii="Calibri" w:hAnsi="Calibri" w:eastAsia="宋体"/>
      <w:kern w:val="2"/>
      <w:sz w:val="18"/>
      <w:szCs w:val="18"/>
      <w:lang w:bidi="ar-SA"/>
    </w:rPr>
  </w:style>
  <w:style w:type="character" w:customStyle="1" w:styleId="1447">
    <w:name w:val="样式 宋体 小四"/>
    <w:qFormat/>
    <w:uiPriority w:val="0"/>
    <w:rPr>
      <w:rFonts w:ascii="宋体" w:hAnsi="宋体"/>
      <w:sz w:val="24"/>
    </w:rPr>
  </w:style>
  <w:style w:type="character" w:customStyle="1" w:styleId="1448">
    <w:name w:val="段 Char"/>
    <w:link w:val="487"/>
    <w:qFormat/>
    <w:uiPriority w:val="0"/>
    <w:rPr>
      <w:rFonts w:ascii="宋体"/>
      <w:kern w:val="2"/>
      <w:sz w:val="21"/>
      <w:szCs w:val="21"/>
    </w:rPr>
  </w:style>
  <w:style w:type="paragraph" w:customStyle="1" w:styleId="1449">
    <w:name w:val="样式6"/>
    <w:basedOn w:val="1"/>
    <w:next w:val="1"/>
    <w:qFormat/>
    <w:uiPriority w:val="0"/>
    <w:pPr>
      <w:ind w:firstLine="175" w:firstLineChars="175"/>
      <w:outlineLvl w:val="5"/>
    </w:pPr>
    <w:rPr>
      <w:rFonts w:hAnsi="宋体" w:cs="Arial"/>
      <w:szCs w:val="22"/>
    </w:rPr>
  </w:style>
  <w:style w:type="paragraph" w:customStyle="1" w:styleId="1450">
    <w:name w:val="项目3"/>
    <w:basedOn w:val="1"/>
    <w:qFormat/>
    <w:uiPriority w:val="0"/>
    <w:pPr>
      <w:numPr>
        <w:ilvl w:val="0"/>
        <w:numId w:val="56"/>
      </w:numPr>
      <w:tabs>
        <w:tab w:val="left" w:pos="360"/>
        <w:tab w:val="clear" w:pos="704"/>
      </w:tabs>
      <w:spacing w:line="360" w:lineRule="auto"/>
      <w:ind w:left="0" w:firstLine="0"/>
    </w:pPr>
    <w:rPr>
      <w:b/>
    </w:rPr>
  </w:style>
  <w:style w:type="paragraph" w:customStyle="1" w:styleId="1451">
    <w:name w:val="样式 宋体 首行缩进:  0.85 厘米"/>
    <w:basedOn w:val="1"/>
    <w:qFormat/>
    <w:uiPriority w:val="0"/>
    <w:pPr>
      <w:spacing w:line="360" w:lineRule="auto"/>
      <w:ind w:firstLine="482"/>
    </w:pPr>
    <w:rPr>
      <w:rFonts w:hAnsi="宋体" w:cs="宋体"/>
      <w:szCs w:val="20"/>
    </w:rPr>
  </w:style>
  <w:style w:type="character" w:customStyle="1" w:styleId="1452">
    <w:name w:val="正文文本_"/>
    <w:link w:val="1453"/>
    <w:qFormat/>
    <w:uiPriority w:val="0"/>
    <w:rPr>
      <w:rFonts w:ascii="Arial Unicode MS" w:hAnsi="Arial Unicode MS" w:eastAsia="Arial Unicode MS" w:cs="Arial Unicode MS"/>
      <w:spacing w:val="10"/>
      <w:sz w:val="22"/>
      <w:shd w:val="clear" w:color="auto" w:fill="FFFFFF"/>
    </w:rPr>
  </w:style>
  <w:style w:type="paragraph" w:customStyle="1" w:styleId="1453">
    <w:name w:val="正文文本3"/>
    <w:basedOn w:val="1"/>
    <w:link w:val="1452"/>
    <w:qFormat/>
    <w:uiPriority w:val="0"/>
    <w:pPr>
      <w:shd w:val="clear" w:color="auto" w:fill="FFFFFF"/>
      <w:spacing w:before="240" w:line="464" w:lineRule="exact"/>
      <w:jc w:val="distribute"/>
    </w:pPr>
    <w:rPr>
      <w:rFonts w:ascii="Arial Unicode MS" w:hAnsi="Arial Unicode MS" w:eastAsia="Arial Unicode MS" w:cs="Arial Unicode MS"/>
      <w:spacing w:val="10"/>
      <w:kern w:val="0"/>
      <w:sz w:val="22"/>
      <w:szCs w:val="20"/>
    </w:rPr>
  </w:style>
  <w:style w:type="character" w:styleId="1454">
    <w:name w:val="Placeholder Text"/>
    <w:basedOn w:val="81"/>
    <w:unhideWhenUsed/>
    <w:qFormat/>
    <w:uiPriority w:val="99"/>
    <w:rPr>
      <w:color w:val="808080"/>
    </w:rPr>
  </w:style>
  <w:style w:type="character" w:customStyle="1" w:styleId="1455">
    <w:name w:val="列出段落 Char3"/>
    <w:qFormat/>
    <w:uiPriority w:val="34"/>
    <w:rPr>
      <w:rFonts w:ascii="宋体"/>
      <w:kern w:val="2"/>
      <w:sz w:val="24"/>
      <w:szCs w:val="24"/>
    </w:rPr>
  </w:style>
  <w:style w:type="paragraph" w:customStyle="1" w:styleId="1456">
    <w:name w:val="xl29537"/>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457">
    <w:name w:val="xl29538"/>
    <w:basedOn w:val="1"/>
    <w:qFormat/>
    <w:uiPriority w:val="0"/>
    <w:pPr>
      <w:widowControl/>
      <w:spacing w:before="100" w:beforeAutospacing="1" w:after="100" w:afterAutospacing="1"/>
      <w:ind w:firstLine="200" w:firstLineChars="200"/>
      <w:jc w:val="left"/>
      <w:textAlignment w:val="center"/>
    </w:pPr>
    <w:rPr>
      <w:rFonts w:hAnsi="宋体" w:cs="宋体"/>
      <w:kern w:val="0"/>
      <w:szCs w:val="21"/>
    </w:rPr>
  </w:style>
  <w:style w:type="paragraph" w:customStyle="1" w:styleId="1458">
    <w:name w:val="xl29539"/>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459">
    <w:name w:val="xl29540"/>
    <w:basedOn w:val="1"/>
    <w:qFormat/>
    <w:uiPriority w:val="0"/>
    <w:pPr>
      <w:widowControl/>
      <w:spacing w:before="100" w:beforeAutospacing="1" w:after="100" w:afterAutospacing="1"/>
      <w:ind w:firstLine="200" w:firstLineChars="200"/>
      <w:jc w:val="left"/>
      <w:textAlignment w:val="center"/>
    </w:pPr>
    <w:rPr>
      <w:rFonts w:hAnsi="宋体" w:cs="宋体"/>
      <w:kern w:val="0"/>
      <w:szCs w:val="21"/>
    </w:rPr>
  </w:style>
  <w:style w:type="paragraph" w:customStyle="1" w:styleId="1460">
    <w:name w:val="xl29541"/>
    <w:basedOn w:val="1"/>
    <w:qFormat/>
    <w:uiPriority w:val="0"/>
    <w:pPr>
      <w:widowControl/>
      <w:spacing w:before="100" w:beforeAutospacing="1" w:after="100" w:afterAutospacing="1"/>
      <w:ind w:firstLine="200" w:firstLineChars="200"/>
      <w:jc w:val="left"/>
    </w:pPr>
    <w:rPr>
      <w:rFonts w:hAnsi="宋体" w:cs="宋体"/>
      <w:kern w:val="0"/>
      <w:szCs w:val="21"/>
    </w:rPr>
  </w:style>
  <w:style w:type="paragraph" w:customStyle="1" w:styleId="1461">
    <w:name w:val="xl29542"/>
    <w:basedOn w:val="1"/>
    <w:qFormat/>
    <w:uiPriority w:val="0"/>
    <w:pPr>
      <w:widowControl/>
      <w:spacing w:before="100" w:beforeAutospacing="1" w:after="100" w:afterAutospacing="1"/>
      <w:ind w:firstLine="200" w:firstLineChars="200"/>
      <w:jc w:val="right"/>
      <w:textAlignment w:val="center"/>
    </w:pPr>
    <w:rPr>
      <w:rFonts w:hAnsi="宋体" w:cs="宋体"/>
      <w:kern w:val="0"/>
      <w:szCs w:val="21"/>
    </w:rPr>
  </w:style>
  <w:style w:type="paragraph" w:customStyle="1" w:styleId="1462">
    <w:name w:val="xl29543"/>
    <w:basedOn w:val="1"/>
    <w:qFormat/>
    <w:uiPriority w:val="0"/>
    <w:pPr>
      <w:widowControl/>
      <w:spacing w:before="100" w:beforeAutospacing="1" w:after="100" w:afterAutospacing="1"/>
      <w:ind w:firstLine="200" w:firstLineChars="200"/>
      <w:jc w:val="right"/>
      <w:textAlignment w:val="center"/>
    </w:pPr>
    <w:rPr>
      <w:rFonts w:hAnsi="宋体" w:cs="宋体"/>
      <w:kern w:val="0"/>
      <w:szCs w:val="21"/>
    </w:rPr>
  </w:style>
  <w:style w:type="paragraph" w:customStyle="1" w:styleId="1463">
    <w:name w:val="xl2954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464">
    <w:name w:val="xl29545"/>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65">
    <w:name w:val="xl29546"/>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66">
    <w:name w:val="xl29547"/>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467">
    <w:name w:val="xl29548"/>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468">
    <w:name w:val="xl29549"/>
    <w:basedOn w:val="1"/>
    <w:qFormat/>
    <w:uiPriority w:val="0"/>
    <w:pPr>
      <w:widowControl/>
      <w:spacing w:before="100" w:beforeAutospacing="1" w:after="100" w:afterAutospacing="1"/>
      <w:ind w:firstLine="200" w:firstLineChars="200"/>
      <w:jc w:val="right"/>
      <w:textAlignment w:val="center"/>
    </w:pPr>
    <w:rPr>
      <w:rFonts w:hAnsi="宋体" w:cs="宋体"/>
      <w:kern w:val="0"/>
      <w:szCs w:val="21"/>
    </w:rPr>
  </w:style>
  <w:style w:type="paragraph" w:customStyle="1" w:styleId="1469">
    <w:name w:val="xl29550"/>
    <w:basedOn w:val="1"/>
    <w:qFormat/>
    <w:uiPriority w:val="0"/>
    <w:pPr>
      <w:widowControl/>
      <w:spacing w:before="100" w:beforeAutospacing="1" w:after="100" w:afterAutospacing="1"/>
      <w:ind w:firstLine="200" w:firstLineChars="200"/>
      <w:jc w:val="left"/>
      <w:textAlignment w:val="center"/>
    </w:pPr>
    <w:rPr>
      <w:rFonts w:hAnsi="宋体" w:cs="宋体"/>
      <w:b/>
      <w:bCs/>
      <w:kern w:val="0"/>
      <w:szCs w:val="21"/>
    </w:rPr>
  </w:style>
  <w:style w:type="paragraph" w:customStyle="1" w:styleId="1470">
    <w:name w:val="xl29551"/>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471">
    <w:name w:val="xl29552"/>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472">
    <w:name w:val="xl29553"/>
    <w:basedOn w:val="1"/>
    <w:qFormat/>
    <w:uiPriority w:val="0"/>
    <w:pPr>
      <w:widowControl/>
      <w:pBdr>
        <w:top w:val="single" w:color="auto" w:sz="4" w:space="0"/>
        <w:left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73">
    <w:name w:val="xl29554"/>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474">
    <w:name w:val="xl295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475">
    <w:name w:val="xl29556"/>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76">
    <w:name w:val="xl29557"/>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77">
    <w:name w:val="xl29558"/>
    <w:basedOn w:val="1"/>
    <w:qFormat/>
    <w:uiPriority w:val="0"/>
    <w:pPr>
      <w:widowControl/>
      <w:spacing w:before="100" w:beforeAutospacing="1" w:after="100" w:afterAutospacing="1"/>
      <w:ind w:firstLine="200" w:firstLineChars="200"/>
      <w:jc w:val="left"/>
      <w:textAlignment w:val="center"/>
    </w:pPr>
    <w:rPr>
      <w:rFonts w:hAnsi="宋体" w:cs="宋体"/>
      <w:kern w:val="0"/>
      <w:szCs w:val="21"/>
    </w:rPr>
  </w:style>
  <w:style w:type="paragraph" w:customStyle="1" w:styleId="1478">
    <w:name w:val="xl29559"/>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79">
    <w:name w:val="xl29560"/>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80">
    <w:name w:val="xl295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481">
    <w:name w:val="xl295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82">
    <w:name w:val="xl29563"/>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83">
    <w:name w:val="xl29564"/>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84">
    <w:name w:val="xl295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485">
    <w:name w:val="xl29566"/>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486">
    <w:name w:val="xl295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487">
    <w:name w:val="xl29568"/>
    <w:basedOn w:val="1"/>
    <w:qFormat/>
    <w:uiPriority w:val="0"/>
    <w:pPr>
      <w:widowControl/>
      <w:pBdr>
        <w:top w:val="double" w:color="auto" w:sz="6"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88">
    <w:name w:val="xl29569"/>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89">
    <w:name w:val="xl29570"/>
    <w:basedOn w:val="1"/>
    <w:qFormat/>
    <w:uiPriority w:val="0"/>
    <w:pPr>
      <w:widowControl/>
      <w:pBdr>
        <w:top w:val="double" w:color="auto" w:sz="6"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90">
    <w:name w:val="xl29571"/>
    <w:basedOn w:val="1"/>
    <w:qFormat/>
    <w:uiPriority w:val="0"/>
    <w:pPr>
      <w:widowControl/>
      <w:pBdr>
        <w:top w:val="double" w:color="auto" w:sz="6" w:space="0"/>
        <w:left w:val="single" w:color="auto" w:sz="4" w:space="0"/>
        <w:bottom w:val="single" w:color="auto" w:sz="4" w:space="0"/>
        <w:right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91">
    <w:name w:val="xl29572"/>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492">
    <w:name w:val="xl295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493">
    <w:name w:val="xl295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94">
    <w:name w:val="xl29575"/>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495">
    <w:name w:val="xl29576"/>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496">
    <w:name w:val="xl29577"/>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97">
    <w:name w:val="xl2957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498">
    <w:name w:val="xl29579"/>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499">
    <w:name w:val="xl2958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00">
    <w:name w:val="xl295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01">
    <w:name w:val="xl295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502">
    <w:name w:val="xl29583"/>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503">
    <w:name w:val="xl29584"/>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504">
    <w:name w:val="xl29585"/>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505">
    <w:name w:val="xl29586"/>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506">
    <w:name w:val="xl295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07">
    <w:name w:val="xl295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508">
    <w:name w:val="xl295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509">
    <w:name w:val="xl29590"/>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10">
    <w:name w:val="xl29591"/>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511">
    <w:name w:val="xl29592"/>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512">
    <w:name w:val="xl295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13">
    <w:name w:val="xl29594"/>
    <w:basedOn w:val="1"/>
    <w:qFormat/>
    <w:uiPriority w:val="0"/>
    <w:pPr>
      <w:widowControl/>
      <w:spacing w:before="100" w:beforeAutospacing="1" w:after="100" w:afterAutospacing="1"/>
      <w:ind w:firstLine="200" w:firstLineChars="200"/>
      <w:jc w:val="left"/>
      <w:textAlignment w:val="center"/>
    </w:pPr>
    <w:rPr>
      <w:rFonts w:hAnsi="宋体" w:cs="宋体"/>
      <w:kern w:val="0"/>
      <w:szCs w:val="21"/>
    </w:rPr>
  </w:style>
  <w:style w:type="paragraph" w:customStyle="1" w:styleId="1514">
    <w:name w:val="xl29595"/>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15">
    <w:name w:val="xl295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16">
    <w:name w:val="xl295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517">
    <w:name w:val="xl295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18">
    <w:name w:val="xl29599"/>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19">
    <w:name w:val="xl29600"/>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20">
    <w:name w:val="xl29601"/>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521">
    <w:name w:val="xl29602"/>
    <w:basedOn w:val="1"/>
    <w:qFormat/>
    <w:uiPriority w:val="0"/>
    <w:pPr>
      <w:widowControl/>
      <w:pBdr>
        <w:top w:val="single" w:color="auto" w:sz="4" w:space="0"/>
        <w:left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22">
    <w:name w:val="xl29603"/>
    <w:basedOn w:val="1"/>
    <w:qFormat/>
    <w:uiPriority w:val="0"/>
    <w:pPr>
      <w:widowControl/>
      <w:pBdr>
        <w:top w:val="single" w:color="auto" w:sz="4" w:space="0"/>
        <w:left w:val="single" w:color="auto" w:sz="4" w:space="0"/>
        <w:bottom w:val="double" w:color="auto" w:sz="6" w:space="0"/>
        <w:right w:val="double" w:color="auto" w:sz="6"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23">
    <w:name w:val="xl29604"/>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524">
    <w:name w:val="xl29605"/>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525">
    <w:name w:val="xl29606"/>
    <w:basedOn w:val="1"/>
    <w:qFormat/>
    <w:uiPriority w:val="0"/>
    <w:pPr>
      <w:widowControl/>
      <w:spacing w:before="100" w:beforeAutospacing="1" w:after="100" w:afterAutospacing="1"/>
      <w:ind w:firstLine="200" w:firstLineChars="200"/>
      <w:jc w:val="right"/>
      <w:textAlignment w:val="center"/>
    </w:pPr>
    <w:rPr>
      <w:rFonts w:hAnsi="宋体" w:cs="宋体"/>
      <w:kern w:val="0"/>
      <w:szCs w:val="21"/>
    </w:rPr>
  </w:style>
  <w:style w:type="paragraph" w:customStyle="1" w:styleId="1526">
    <w:name w:val="xl296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27">
    <w:name w:val="xl296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28">
    <w:name w:val="xl29609"/>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29">
    <w:name w:val="xl296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30">
    <w:name w:val="xl29611"/>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31">
    <w:name w:val="xl29612"/>
    <w:basedOn w:val="1"/>
    <w:qFormat/>
    <w:uiPriority w:val="0"/>
    <w:pPr>
      <w:widowControl/>
      <w:pBdr>
        <w:top w:val="double" w:color="auto" w:sz="6" w:space="0"/>
        <w:left w:val="double" w:color="auto" w:sz="6"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32">
    <w:name w:val="xl29613"/>
    <w:basedOn w:val="1"/>
    <w:qFormat/>
    <w:uiPriority w:val="0"/>
    <w:pPr>
      <w:widowControl/>
      <w:pBdr>
        <w:top w:val="double" w:color="auto" w:sz="6"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33">
    <w:name w:val="xl29614"/>
    <w:basedOn w:val="1"/>
    <w:qFormat/>
    <w:uiPriority w:val="0"/>
    <w:pPr>
      <w:widowControl/>
      <w:pBdr>
        <w:top w:val="double" w:color="auto" w:sz="6"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34">
    <w:name w:val="xl29615"/>
    <w:basedOn w:val="1"/>
    <w:qFormat/>
    <w:uiPriority w:val="0"/>
    <w:pPr>
      <w:widowControl/>
      <w:pBdr>
        <w:top w:val="double" w:color="auto" w:sz="6" w:space="0"/>
        <w:left w:val="single" w:color="auto" w:sz="4" w:space="0"/>
        <w:bottom w:val="single" w:color="auto" w:sz="4" w:space="0"/>
        <w:right w:val="double" w:color="auto" w:sz="6"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35">
    <w:name w:val="xl296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kern w:val="0"/>
      <w:szCs w:val="21"/>
    </w:rPr>
  </w:style>
  <w:style w:type="paragraph" w:customStyle="1" w:styleId="1536">
    <w:name w:val="xl2961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kern w:val="0"/>
      <w:szCs w:val="21"/>
    </w:rPr>
  </w:style>
  <w:style w:type="paragraph" w:customStyle="1" w:styleId="1537">
    <w:name w:val="xl29618"/>
    <w:basedOn w:val="1"/>
    <w:qFormat/>
    <w:uiPriority w:val="0"/>
    <w:pPr>
      <w:widowControl/>
      <w:pBdr>
        <w:top w:val="single" w:color="auto" w:sz="4" w:space="0"/>
        <w:left w:val="single" w:color="auto" w:sz="4" w:space="0"/>
        <w:bottom w:val="single" w:color="auto" w:sz="4" w:space="0"/>
        <w:right w:val="double" w:color="auto" w:sz="6" w:space="0"/>
      </w:pBdr>
      <w:shd w:val="clear" w:color="000000" w:fill="FFFFFF"/>
      <w:spacing w:before="100" w:beforeAutospacing="1" w:after="100" w:afterAutospacing="1"/>
      <w:ind w:firstLine="200" w:firstLineChars="200"/>
      <w:jc w:val="right"/>
      <w:textAlignment w:val="center"/>
    </w:pPr>
    <w:rPr>
      <w:rFonts w:hAnsi="宋体" w:cs="宋体"/>
      <w:kern w:val="0"/>
      <w:szCs w:val="21"/>
    </w:rPr>
  </w:style>
  <w:style w:type="paragraph" w:customStyle="1" w:styleId="1538">
    <w:name w:val="xl29619"/>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539">
    <w:name w:val="xl296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40">
    <w:name w:val="xl29621"/>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41">
    <w:name w:val="xl296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542">
    <w:name w:val="xl296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right"/>
      <w:textAlignment w:val="center"/>
    </w:pPr>
    <w:rPr>
      <w:rFonts w:hAnsi="宋体" w:cs="宋体"/>
      <w:kern w:val="0"/>
      <w:szCs w:val="21"/>
    </w:rPr>
  </w:style>
  <w:style w:type="paragraph" w:customStyle="1" w:styleId="1543">
    <w:name w:val="xl29624"/>
    <w:basedOn w:val="1"/>
    <w:qFormat/>
    <w:uiPriority w:val="0"/>
    <w:pPr>
      <w:widowControl/>
      <w:spacing w:before="100" w:beforeAutospacing="1" w:after="100" w:afterAutospacing="1"/>
      <w:ind w:firstLine="200" w:firstLineChars="200"/>
      <w:jc w:val="center"/>
    </w:pPr>
    <w:rPr>
      <w:rFonts w:hAnsi="宋体" w:cs="宋体"/>
      <w:kern w:val="0"/>
      <w:szCs w:val="21"/>
    </w:rPr>
  </w:style>
  <w:style w:type="paragraph" w:customStyle="1" w:styleId="1544">
    <w:name w:val="xl29625"/>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545">
    <w:name w:val="xl29626"/>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546">
    <w:name w:val="xl29627"/>
    <w:basedOn w:val="1"/>
    <w:qFormat/>
    <w:uiPriority w:val="0"/>
    <w:pPr>
      <w:widowControl/>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47">
    <w:name w:val="xl29628"/>
    <w:basedOn w:val="1"/>
    <w:qFormat/>
    <w:uiPriority w:val="0"/>
    <w:pPr>
      <w:widowControl/>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48">
    <w:name w:val="xl29629"/>
    <w:basedOn w:val="1"/>
    <w:qFormat/>
    <w:uiPriority w:val="0"/>
    <w:pPr>
      <w:widowControl/>
      <w:pBdr>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49">
    <w:name w:val="xl29630"/>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550">
    <w:name w:val="xl29631"/>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51">
    <w:name w:val="xl29632"/>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52">
    <w:name w:val="xl29633"/>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53">
    <w:name w:val="xl29634"/>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54">
    <w:name w:val="xl29635"/>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55">
    <w:name w:val="xl29636"/>
    <w:basedOn w:val="1"/>
    <w:qFormat/>
    <w:uiPriority w:val="0"/>
    <w:pPr>
      <w:widowControl/>
      <w:pBdr>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56">
    <w:name w:val="xl29637"/>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557">
    <w:name w:val="xl2963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558">
    <w:name w:val="xl29639"/>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559">
    <w:name w:val="xl2964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560">
    <w:name w:val="xl29641"/>
    <w:basedOn w:val="1"/>
    <w:qFormat/>
    <w:uiPriority w:val="0"/>
    <w:pPr>
      <w:widowControl/>
      <w:pBdr>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1">
    <w:name w:val="xl29642"/>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2">
    <w:name w:val="xl2964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3">
    <w:name w:val="xl29644"/>
    <w:basedOn w:val="1"/>
    <w:qFormat/>
    <w:uiPriority w:val="0"/>
    <w:pPr>
      <w:widowControl/>
      <w:pBdr>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4">
    <w:name w:val="xl29645"/>
    <w:basedOn w:val="1"/>
    <w:qFormat/>
    <w:uiPriority w:val="0"/>
    <w:pPr>
      <w:widowControl/>
      <w:pBdr>
        <w:top w:val="single" w:color="auto" w:sz="4" w:space="0"/>
        <w:left w:val="double" w:color="auto" w:sz="6"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5">
    <w:name w:val="xl29646"/>
    <w:basedOn w:val="1"/>
    <w:qFormat/>
    <w:uiPriority w:val="0"/>
    <w:pPr>
      <w:widowControl/>
      <w:pBdr>
        <w:top w:val="single" w:color="auto" w:sz="4"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6">
    <w:name w:val="xl29647"/>
    <w:basedOn w:val="1"/>
    <w:qFormat/>
    <w:uiPriority w:val="0"/>
    <w:pPr>
      <w:widowControl/>
      <w:pBdr>
        <w:top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7">
    <w:name w:val="xl29648"/>
    <w:basedOn w:val="1"/>
    <w:qFormat/>
    <w:uiPriority w:val="0"/>
    <w:pPr>
      <w:widowControl/>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8">
    <w:name w:val="xl29649"/>
    <w:basedOn w:val="1"/>
    <w:qFormat/>
    <w:uiPriority w:val="0"/>
    <w:pPr>
      <w:widowControl/>
      <w:pBdr>
        <w:top w:val="single" w:color="auto" w:sz="4" w:space="0"/>
        <w:left w:val="double" w:color="auto" w:sz="6"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69">
    <w:name w:val="xl29650"/>
    <w:basedOn w:val="1"/>
    <w:qFormat/>
    <w:uiPriority w:val="0"/>
    <w:pPr>
      <w:widowControl/>
      <w:pBdr>
        <w:top w:val="single" w:color="auto" w:sz="4"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70">
    <w:name w:val="xl29651"/>
    <w:basedOn w:val="1"/>
    <w:qFormat/>
    <w:uiPriority w:val="0"/>
    <w:pPr>
      <w:widowControl/>
      <w:pBdr>
        <w:top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71">
    <w:name w:val="xl29652"/>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72">
    <w:name w:val="xl2965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73">
    <w:name w:val="xl29654"/>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74">
    <w:name w:val="xl29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75">
    <w:name w:val="xl29656"/>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576">
    <w:name w:val="标题5"/>
    <w:basedOn w:val="7"/>
    <w:next w:val="1"/>
    <w:link w:val="1577"/>
    <w:qFormat/>
    <w:uiPriority w:val="0"/>
    <w:pPr>
      <w:spacing w:before="0" w:after="0" w:line="360" w:lineRule="auto"/>
      <w:ind w:left="1008" w:hanging="1008"/>
      <w:jc w:val="left"/>
    </w:pPr>
    <w:rPr>
      <w:rFonts w:ascii="Cambria" w:hAnsi="Cambria"/>
      <w:sz w:val="28"/>
    </w:rPr>
  </w:style>
  <w:style w:type="character" w:customStyle="1" w:styleId="1577">
    <w:name w:val="标题5 Char"/>
    <w:basedOn w:val="81"/>
    <w:link w:val="1576"/>
    <w:qFormat/>
    <w:uiPriority w:val="0"/>
    <w:rPr>
      <w:rFonts w:ascii="Cambria" w:hAnsi="Cambria"/>
      <w:b/>
      <w:bCs/>
      <w:kern w:val="2"/>
      <w:sz w:val="28"/>
      <w:szCs w:val="28"/>
    </w:rPr>
  </w:style>
  <w:style w:type="character" w:customStyle="1" w:styleId="1578">
    <w:name w:val="t_tag"/>
    <w:basedOn w:val="81"/>
    <w:qFormat/>
    <w:uiPriority w:val="0"/>
  </w:style>
  <w:style w:type="paragraph" w:customStyle="1" w:styleId="1579">
    <w:name w:val="xl29657"/>
    <w:basedOn w:val="1"/>
    <w:qFormat/>
    <w:uiPriority w:val="0"/>
    <w:pPr>
      <w:widowControl/>
      <w:pBdr>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80">
    <w:name w:val="xl29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81">
    <w:name w:val="xl29659"/>
    <w:basedOn w:val="1"/>
    <w:qFormat/>
    <w:uiPriority w:val="0"/>
    <w:pPr>
      <w:widowControl/>
      <w:pBdr>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82">
    <w:name w:val="xl29660"/>
    <w:basedOn w:val="1"/>
    <w:qFormat/>
    <w:uiPriority w:val="0"/>
    <w:pPr>
      <w:widowControl/>
      <w:pBdr>
        <w:left w:val="double" w:color="auto" w:sz="6" w:space="0"/>
        <w:bottom w:val="single" w:color="auto" w:sz="4" w:space="0"/>
        <w:right w:val="single" w:color="auto" w:sz="4" w:space="0"/>
      </w:pBdr>
      <w:shd w:val="clear" w:color="000000" w:fill="F2F2F2"/>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83">
    <w:name w:val="xl29661"/>
    <w:basedOn w:val="1"/>
    <w:qFormat/>
    <w:uiPriority w:val="0"/>
    <w:pPr>
      <w:widowControl/>
      <w:pBdr>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left"/>
      <w:textAlignment w:val="center"/>
    </w:pPr>
    <w:rPr>
      <w:rFonts w:hAnsi="宋体" w:cs="宋体"/>
      <w:b/>
      <w:bCs/>
      <w:kern w:val="0"/>
      <w:szCs w:val="21"/>
    </w:rPr>
  </w:style>
  <w:style w:type="paragraph" w:customStyle="1" w:styleId="1584">
    <w:name w:val="xl29662"/>
    <w:basedOn w:val="1"/>
    <w:qFormat/>
    <w:uiPriority w:val="0"/>
    <w:pPr>
      <w:widowControl/>
      <w:pBdr>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85">
    <w:name w:val="xl29663"/>
    <w:basedOn w:val="1"/>
    <w:qFormat/>
    <w:uiPriority w:val="0"/>
    <w:pPr>
      <w:widowControl/>
      <w:pBdr>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86">
    <w:name w:val="xl29664"/>
    <w:basedOn w:val="1"/>
    <w:qFormat/>
    <w:uiPriority w:val="0"/>
    <w:pPr>
      <w:widowControl/>
      <w:pBdr>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87">
    <w:name w:val="xl29665"/>
    <w:basedOn w:val="1"/>
    <w:qFormat/>
    <w:uiPriority w:val="0"/>
    <w:pPr>
      <w:widowControl/>
      <w:pBdr>
        <w:left w:val="single" w:color="auto" w:sz="4" w:space="0"/>
        <w:bottom w:val="single" w:color="auto" w:sz="4" w:space="0"/>
        <w:right w:val="double" w:color="auto" w:sz="6" w:space="0"/>
      </w:pBdr>
      <w:shd w:val="clear" w:color="000000" w:fill="F2F2F2"/>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88">
    <w:name w:val="xl296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89">
    <w:name w:val="xl296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90">
    <w:name w:val="xl29668"/>
    <w:basedOn w:val="1"/>
    <w:qFormat/>
    <w:uiPriority w:val="0"/>
    <w:pPr>
      <w:widowControl/>
      <w:pBdr>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91">
    <w:name w:val="xl29669"/>
    <w:basedOn w:val="1"/>
    <w:qFormat/>
    <w:uiPriority w:val="0"/>
    <w:pPr>
      <w:widowControl/>
      <w:pBdr>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592">
    <w:name w:val="xl296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kern w:val="0"/>
      <w:szCs w:val="21"/>
    </w:rPr>
  </w:style>
  <w:style w:type="paragraph" w:customStyle="1" w:styleId="1593">
    <w:name w:val="xl2967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594">
    <w:name w:val="xl296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595">
    <w:name w:val="xl29673"/>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kern w:val="0"/>
      <w:szCs w:val="21"/>
    </w:rPr>
  </w:style>
  <w:style w:type="paragraph" w:customStyle="1" w:styleId="1596">
    <w:name w:val="xl29674"/>
    <w:basedOn w:val="1"/>
    <w:qFormat/>
    <w:uiPriority w:val="0"/>
    <w:pPr>
      <w:widowControl/>
      <w:pBdr>
        <w:top w:val="double" w:color="auto" w:sz="6"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97">
    <w:name w:val="xl29675"/>
    <w:basedOn w:val="1"/>
    <w:qFormat/>
    <w:uiPriority w:val="0"/>
    <w:pPr>
      <w:widowControl/>
      <w:pBdr>
        <w:top w:val="double" w:color="auto" w:sz="6" w:space="0"/>
        <w:left w:val="single" w:color="auto" w:sz="4" w:space="0"/>
        <w:bottom w:val="single" w:color="auto" w:sz="4" w:space="0"/>
        <w:right w:val="double" w:color="auto" w:sz="6"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98">
    <w:name w:val="xl29676"/>
    <w:basedOn w:val="1"/>
    <w:qFormat/>
    <w:uiPriority w:val="0"/>
    <w:pPr>
      <w:widowControl/>
      <w:pBdr>
        <w:left w:val="double" w:color="auto" w:sz="6"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599">
    <w:name w:val="xl29677"/>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b/>
      <w:bCs/>
      <w:kern w:val="0"/>
      <w:szCs w:val="21"/>
    </w:rPr>
  </w:style>
  <w:style w:type="paragraph" w:customStyle="1" w:styleId="1600">
    <w:name w:val="xl29678"/>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01">
    <w:name w:val="xl2967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02">
    <w:name w:val="xl29680"/>
    <w:basedOn w:val="1"/>
    <w:qFormat/>
    <w:uiPriority w:val="0"/>
    <w:pPr>
      <w:widowControl/>
      <w:pBdr>
        <w:left w:val="single" w:color="auto" w:sz="4" w:space="0"/>
        <w:bottom w:val="single" w:color="auto" w:sz="4" w:space="0"/>
        <w:right w:val="double" w:color="auto" w:sz="6" w:space="0"/>
      </w:pBdr>
      <w:shd w:val="clear" w:color="000000" w:fill="FFFFFF"/>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03">
    <w:name w:val="xl296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right"/>
      <w:textAlignment w:val="center"/>
    </w:pPr>
    <w:rPr>
      <w:rFonts w:hAnsi="宋体" w:cs="宋体"/>
      <w:kern w:val="0"/>
      <w:szCs w:val="21"/>
    </w:rPr>
  </w:style>
  <w:style w:type="paragraph" w:customStyle="1" w:styleId="1604">
    <w:name w:val="xl29682"/>
    <w:basedOn w:val="1"/>
    <w:qFormat/>
    <w:uiPriority w:val="0"/>
    <w:pPr>
      <w:widowControl/>
      <w:pBdr>
        <w:top w:val="single" w:color="auto" w:sz="4" w:space="0"/>
        <w:left w:val="single" w:color="auto" w:sz="4" w:space="0"/>
        <w:bottom w:val="double" w:color="auto" w:sz="6" w:space="0"/>
        <w:right w:val="double" w:color="auto" w:sz="6" w:space="0"/>
      </w:pBdr>
      <w:shd w:val="clear" w:color="000000" w:fill="FFFFFF"/>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05">
    <w:name w:val="xl296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606">
    <w:name w:val="xl296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textAlignment w:val="center"/>
    </w:pPr>
    <w:rPr>
      <w:rFonts w:hAnsi="宋体" w:cs="宋体"/>
      <w:kern w:val="0"/>
      <w:szCs w:val="21"/>
    </w:rPr>
  </w:style>
  <w:style w:type="paragraph" w:customStyle="1" w:styleId="1607">
    <w:name w:val="xl29685"/>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608">
    <w:name w:val="xl29686"/>
    <w:basedOn w:val="1"/>
    <w:qFormat/>
    <w:uiPriority w:val="0"/>
    <w:pPr>
      <w:widowControl/>
      <w:pBdr>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609">
    <w:name w:val="xl29687"/>
    <w:basedOn w:val="1"/>
    <w:qFormat/>
    <w:uiPriority w:val="0"/>
    <w:pPr>
      <w:widowControl/>
      <w:pBdr>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610">
    <w:name w:val="xl29688"/>
    <w:basedOn w:val="1"/>
    <w:qFormat/>
    <w:uiPriority w:val="0"/>
    <w:pPr>
      <w:widowControl/>
      <w:pBdr>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611">
    <w:name w:val="xl29689"/>
    <w:basedOn w:val="1"/>
    <w:qFormat/>
    <w:uiPriority w:val="0"/>
    <w:pPr>
      <w:widowControl/>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12">
    <w:name w:val="xl29690"/>
    <w:basedOn w:val="1"/>
    <w:qFormat/>
    <w:uiPriority w:val="0"/>
    <w:pPr>
      <w:widowControl/>
      <w:pBdr>
        <w:top w:val="single" w:color="auto" w:sz="4" w:space="0"/>
        <w:left w:val="double" w:color="auto" w:sz="6" w:space="0"/>
        <w:bottom w:val="single" w:color="auto" w:sz="4"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kern w:val="0"/>
      <w:szCs w:val="21"/>
    </w:rPr>
  </w:style>
  <w:style w:type="paragraph" w:customStyle="1" w:styleId="1613">
    <w:name w:val="xl29691"/>
    <w:basedOn w:val="1"/>
    <w:qFormat/>
    <w:uiPriority w:val="0"/>
    <w:pPr>
      <w:widowControl/>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14">
    <w:name w:val="xl29692"/>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615">
    <w:name w:val="xl29693"/>
    <w:basedOn w:val="1"/>
    <w:qFormat/>
    <w:uiPriority w:val="0"/>
    <w:pPr>
      <w:widowControl/>
      <w:spacing w:before="100" w:beforeAutospacing="1" w:after="100" w:afterAutospacing="1"/>
      <w:ind w:firstLine="200" w:firstLineChars="200"/>
      <w:jc w:val="center"/>
      <w:textAlignment w:val="center"/>
    </w:pPr>
    <w:rPr>
      <w:rFonts w:hAnsi="宋体" w:cs="宋体"/>
      <w:kern w:val="0"/>
      <w:szCs w:val="21"/>
    </w:rPr>
  </w:style>
  <w:style w:type="paragraph" w:customStyle="1" w:styleId="1616">
    <w:name w:val="xl29694"/>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17">
    <w:name w:val="xl29695"/>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618">
    <w:name w:val="xl296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color w:val="000000"/>
      <w:kern w:val="0"/>
      <w:szCs w:val="21"/>
    </w:rPr>
  </w:style>
  <w:style w:type="paragraph" w:customStyle="1" w:styleId="1619">
    <w:name w:val="xl29697"/>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color w:val="000000"/>
      <w:kern w:val="0"/>
      <w:szCs w:val="21"/>
    </w:rPr>
  </w:style>
  <w:style w:type="paragraph" w:customStyle="1" w:styleId="1620">
    <w:name w:val="xl296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color w:val="000000"/>
      <w:kern w:val="0"/>
      <w:szCs w:val="21"/>
    </w:rPr>
  </w:style>
  <w:style w:type="paragraph" w:customStyle="1" w:styleId="1621">
    <w:name w:val="xl296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color w:val="000000"/>
      <w:kern w:val="0"/>
      <w:szCs w:val="21"/>
    </w:rPr>
  </w:style>
  <w:style w:type="paragraph" w:customStyle="1" w:styleId="1622">
    <w:name w:val="xl29700"/>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23">
    <w:name w:val="xl2970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624">
    <w:name w:val="xl29702"/>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25">
    <w:name w:val="xl29703"/>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26">
    <w:name w:val="xl29704"/>
    <w:basedOn w:val="1"/>
    <w:qFormat/>
    <w:uiPriority w:val="0"/>
    <w:pPr>
      <w:widowControl/>
      <w:pBdr>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27">
    <w:name w:val="xl29705"/>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628">
    <w:name w:val="xl29706"/>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29">
    <w:name w:val="xl29707"/>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30">
    <w:name w:val="xl29708"/>
    <w:basedOn w:val="1"/>
    <w:qFormat/>
    <w:uiPriority w:val="0"/>
    <w:pPr>
      <w:widowControl/>
      <w:pBdr>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31">
    <w:name w:val="xl29709"/>
    <w:basedOn w:val="1"/>
    <w:qFormat/>
    <w:uiPriority w:val="0"/>
    <w:pPr>
      <w:widowControl/>
      <w:pBdr>
        <w:top w:val="single" w:color="auto" w:sz="4" w:space="0"/>
        <w:left w:val="double" w:color="auto" w:sz="6"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32">
    <w:name w:val="xl29710"/>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633">
    <w:name w:val="xl29711"/>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34">
    <w:name w:val="xl29712"/>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635">
    <w:name w:val="xl29713"/>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36">
    <w:name w:val="xl29714"/>
    <w:basedOn w:val="1"/>
    <w:qFormat/>
    <w:uiPriority w:val="0"/>
    <w:pPr>
      <w:widowControl/>
      <w:pBdr>
        <w:top w:val="single" w:color="auto" w:sz="4" w:space="0"/>
        <w:left w:val="double" w:color="auto" w:sz="6" w:space="0"/>
        <w:bottom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637">
    <w:name w:val="xl29715"/>
    <w:basedOn w:val="1"/>
    <w:qFormat/>
    <w:uiPriority w:val="0"/>
    <w:pPr>
      <w:widowControl/>
      <w:pBdr>
        <w:top w:val="single" w:color="auto" w:sz="4" w:space="0"/>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38">
    <w:name w:val="xl297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b/>
      <w:bCs/>
      <w:kern w:val="0"/>
      <w:szCs w:val="21"/>
    </w:rPr>
  </w:style>
  <w:style w:type="paragraph" w:customStyle="1" w:styleId="1639">
    <w:name w:val="xl297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40">
    <w:name w:val="xl297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b/>
      <w:bCs/>
      <w:kern w:val="0"/>
      <w:szCs w:val="21"/>
    </w:rPr>
  </w:style>
  <w:style w:type="paragraph" w:customStyle="1" w:styleId="1641">
    <w:name w:val="xl29719"/>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42">
    <w:name w:val="xl297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b/>
      <w:bCs/>
      <w:kern w:val="0"/>
      <w:szCs w:val="21"/>
    </w:rPr>
  </w:style>
  <w:style w:type="paragraph" w:customStyle="1" w:styleId="1643">
    <w:name w:val="xl297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44">
    <w:name w:val="xl297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45">
    <w:name w:val="xl29723"/>
    <w:basedOn w:val="1"/>
    <w:qFormat/>
    <w:uiPriority w:val="0"/>
    <w:pPr>
      <w:widowControl/>
      <w:pBdr>
        <w:top w:val="single" w:color="auto" w:sz="4" w:space="0"/>
        <w:left w:val="single" w:color="auto" w:sz="4" w:space="0"/>
        <w:bottom w:val="single" w:color="auto" w:sz="4" w:space="0"/>
        <w:right w:val="double" w:color="auto" w:sz="6"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46">
    <w:name w:val="xl29724"/>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b/>
      <w:bCs/>
      <w:kern w:val="0"/>
      <w:szCs w:val="21"/>
    </w:rPr>
  </w:style>
  <w:style w:type="paragraph" w:customStyle="1" w:styleId="1647">
    <w:name w:val="xl29725"/>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48">
    <w:name w:val="xl29726"/>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49">
    <w:name w:val="xl29727"/>
    <w:basedOn w:val="1"/>
    <w:qFormat/>
    <w:uiPriority w:val="0"/>
    <w:pPr>
      <w:widowControl/>
      <w:pBdr>
        <w:top w:val="single" w:color="auto" w:sz="4" w:space="0"/>
        <w:left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50">
    <w:name w:val="xl2972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51">
    <w:name w:val="xl29729"/>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52">
    <w:name w:val="xl29730"/>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center"/>
      <w:textAlignment w:val="center"/>
    </w:pPr>
    <w:rPr>
      <w:rFonts w:hAnsi="宋体" w:cs="宋体"/>
      <w:kern w:val="0"/>
      <w:szCs w:val="21"/>
    </w:rPr>
  </w:style>
  <w:style w:type="paragraph" w:customStyle="1" w:styleId="1653">
    <w:name w:val="xl29731"/>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54">
    <w:name w:val="xl29732"/>
    <w:basedOn w:val="1"/>
    <w:qFormat/>
    <w:uiPriority w:val="0"/>
    <w:pPr>
      <w:widowControl/>
      <w:pBdr>
        <w:top w:val="single" w:color="auto" w:sz="4" w:space="0"/>
        <w:left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kern w:val="0"/>
      <w:szCs w:val="21"/>
    </w:rPr>
  </w:style>
  <w:style w:type="paragraph" w:customStyle="1" w:styleId="1655">
    <w:name w:val="xl297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hAnsi="宋体" w:cs="宋体"/>
      <w:b/>
      <w:bCs/>
      <w:kern w:val="0"/>
      <w:szCs w:val="21"/>
    </w:rPr>
  </w:style>
  <w:style w:type="paragraph" w:customStyle="1" w:styleId="1656">
    <w:name w:val="xl297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57">
    <w:name w:val="xl29735"/>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58">
    <w:name w:val="xl29736"/>
    <w:basedOn w:val="1"/>
    <w:qFormat/>
    <w:uiPriority w:val="0"/>
    <w:pPr>
      <w:widowControl/>
      <w:pBdr>
        <w:top w:val="single" w:color="auto" w:sz="4" w:space="0"/>
        <w:left w:val="single" w:color="auto" w:sz="4" w:space="0"/>
        <w:bottom w:val="single" w:color="auto" w:sz="4" w:space="0"/>
        <w:right w:val="double" w:color="auto" w:sz="6" w:space="0"/>
      </w:pBdr>
      <w:shd w:val="clear" w:color="000000" w:fill="D9D9D9"/>
      <w:spacing w:before="100" w:beforeAutospacing="1" w:after="100" w:afterAutospacing="1"/>
      <w:ind w:firstLine="200" w:firstLineChars="200"/>
      <w:jc w:val="right"/>
      <w:textAlignment w:val="center"/>
    </w:pPr>
    <w:rPr>
      <w:rFonts w:hAnsi="宋体" w:cs="宋体"/>
      <w:b/>
      <w:bCs/>
      <w:kern w:val="0"/>
      <w:szCs w:val="21"/>
    </w:rPr>
  </w:style>
  <w:style w:type="paragraph" w:customStyle="1" w:styleId="1659">
    <w:name w:val="xl29737"/>
    <w:basedOn w:val="1"/>
    <w:qFormat/>
    <w:uiPriority w:val="0"/>
    <w:pPr>
      <w:widowControl/>
      <w:pBdr>
        <w:top w:val="single" w:color="auto" w:sz="4" w:space="0"/>
        <w:left w:val="single" w:color="auto" w:sz="4" w:space="0"/>
        <w:right w:val="single" w:color="auto" w:sz="4" w:space="0"/>
      </w:pBdr>
      <w:spacing w:before="100" w:beforeAutospacing="1" w:after="100" w:afterAutospacing="1"/>
      <w:ind w:firstLine="200" w:firstLineChars="200"/>
      <w:jc w:val="right"/>
      <w:textAlignment w:val="center"/>
    </w:pPr>
    <w:rPr>
      <w:rFonts w:hAnsi="宋体" w:cs="宋体"/>
      <w:kern w:val="0"/>
      <w:szCs w:val="21"/>
    </w:rPr>
  </w:style>
  <w:style w:type="paragraph" w:customStyle="1" w:styleId="1660">
    <w:name w:val="xl29738"/>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ind w:firstLine="200" w:firstLineChars="200"/>
      <w:jc w:val="left"/>
      <w:textAlignment w:val="center"/>
    </w:pPr>
    <w:rPr>
      <w:rFonts w:hAnsi="宋体" w:cs="宋体"/>
      <w:kern w:val="0"/>
      <w:szCs w:val="21"/>
    </w:rPr>
  </w:style>
  <w:style w:type="paragraph" w:customStyle="1" w:styleId="1661">
    <w:name w:val="xl29739"/>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662">
    <w:name w:val="xl29740"/>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ind w:firstLine="200" w:firstLineChars="200"/>
      <w:jc w:val="left"/>
      <w:textAlignment w:val="center"/>
    </w:pPr>
    <w:rPr>
      <w:rFonts w:hAnsi="宋体" w:cs="宋体"/>
      <w:kern w:val="0"/>
      <w:szCs w:val="21"/>
    </w:rPr>
  </w:style>
  <w:style w:type="paragraph" w:customStyle="1" w:styleId="1663">
    <w:name w:val="xl29741"/>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left"/>
      <w:textAlignment w:val="center"/>
    </w:pPr>
    <w:rPr>
      <w:rFonts w:hAnsi="宋体" w:cs="宋体"/>
      <w:kern w:val="0"/>
      <w:szCs w:val="21"/>
    </w:rPr>
  </w:style>
  <w:style w:type="paragraph" w:customStyle="1" w:styleId="1664">
    <w:name w:val="xl29742"/>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left"/>
      <w:textAlignment w:val="center"/>
    </w:pPr>
    <w:rPr>
      <w:rFonts w:hAnsi="宋体" w:cs="宋体"/>
      <w:kern w:val="0"/>
      <w:szCs w:val="21"/>
    </w:rPr>
  </w:style>
  <w:style w:type="paragraph" w:customStyle="1" w:styleId="1665">
    <w:name w:val="xl29743"/>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center"/>
      <w:textAlignment w:val="center"/>
    </w:pPr>
    <w:rPr>
      <w:rFonts w:hAnsi="宋体" w:cs="宋体"/>
      <w:kern w:val="0"/>
      <w:szCs w:val="21"/>
    </w:rPr>
  </w:style>
  <w:style w:type="paragraph" w:customStyle="1" w:styleId="1666">
    <w:name w:val="xl29744"/>
    <w:basedOn w:val="1"/>
    <w:qFormat/>
    <w:uiPriority w:val="0"/>
    <w:pPr>
      <w:widowControl/>
      <w:pBdr>
        <w:top w:val="single" w:color="auto" w:sz="4" w:space="0"/>
        <w:left w:val="single" w:color="auto" w:sz="4" w:space="0"/>
        <w:bottom w:val="single" w:color="auto" w:sz="4" w:space="0"/>
        <w:right w:val="single" w:color="auto" w:sz="4" w:space="0"/>
      </w:pBdr>
      <w:shd w:val="clear" w:color="000000" w:fill="F2F2F2"/>
      <w:spacing w:before="100" w:beforeAutospacing="1" w:after="100" w:afterAutospacing="1"/>
      <w:ind w:firstLine="200" w:firstLineChars="200"/>
      <w:jc w:val="right"/>
      <w:textAlignment w:val="center"/>
    </w:pPr>
    <w:rPr>
      <w:rFonts w:hAnsi="宋体" w:cs="宋体"/>
      <w:kern w:val="0"/>
      <w:szCs w:val="21"/>
    </w:rPr>
  </w:style>
  <w:style w:type="paragraph" w:customStyle="1" w:styleId="1667">
    <w:name w:val="xl29745"/>
    <w:basedOn w:val="1"/>
    <w:qFormat/>
    <w:uiPriority w:val="0"/>
    <w:pPr>
      <w:widowControl/>
      <w:pBdr>
        <w:top w:val="single" w:color="auto" w:sz="4" w:space="0"/>
        <w:left w:val="single" w:color="auto" w:sz="4" w:space="0"/>
        <w:bottom w:val="single" w:color="auto" w:sz="4" w:space="0"/>
        <w:right w:val="double" w:color="auto" w:sz="6" w:space="0"/>
      </w:pBdr>
      <w:shd w:val="clear" w:color="000000" w:fill="F2F2F2"/>
      <w:spacing w:before="100" w:beforeAutospacing="1" w:after="100" w:afterAutospacing="1"/>
      <w:ind w:firstLine="200" w:firstLineChars="200"/>
      <w:jc w:val="right"/>
      <w:textAlignment w:val="center"/>
    </w:pPr>
    <w:rPr>
      <w:rFonts w:hAnsi="宋体" w:cs="宋体"/>
      <w:kern w:val="0"/>
      <w:szCs w:val="21"/>
    </w:rPr>
  </w:style>
  <w:style w:type="paragraph" w:customStyle="1" w:styleId="1668">
    <w:name w:val="xl29746"/>
    <w:basedOn w:val="1"/>
    <w:qFormat/>
    <w:uiPriority w:val="0"/>
    <w:pPr>
      <w:widowControl/>
      <w:pBdr>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69">
    <w:name w:val="xl29747"/>
    <w:basedOn w:val="1"/>
    <w:qFormat/>
    <w:uiPriority w:val="0"/>
    <w:pPr>
      <w:widowControl/>
      <w:pBdr>
        <w:top w:val="single" w:color="auto" w:sz="4" w:space="0"/>
        <w:left w:val="double" w:color="auto" w:sz="6"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0">
    <w:name w:val="xl29748"/>
    <w:basedOn w:val="1"/>
    <w:qFormat/>
    <w:uiPriority w:val="0"/>
    <w:pPr>
      <w:widowControl/>
      <w:pBdr>
        <w:top w:val="single" w:color="auto" w:sz="4" w:space="0"/>
        <w:bottom w:val="double" w:color="auto" w:sz="6"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1">
    <w:name w:val="xl29749"/>
    <w:basedOn w:val="1"/>
    <w:qFormat/>
    <w:uiPriority w:val="0"/>
    <w:pPr>
      <w:widowControl/>
      <w:pBdr>
        <w:top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2">
    <w:name w:val="xl29750"/>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3">
    <w:name w:val="xl29751"/>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4">
    <w:name w:val="xl29752"/>
    <w:basedOn w:val="1"/>
    <w:qFormat/>
    <w:uiPriority w:val="0"/>
    <w:pPr>
      <w:widowControl/>
      <w:pBdr>
        <w:top w:val="single" w:color="auto" w:sz="4" w:space="0"/>
        <w:left w:val="double" w:color="auto" w:sz="6"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5">
    <w:name w:val="xl29753"/>
    <w:basedOn w:val="1"/>
    <w:qFormat/>
    <w:uiPriority w:val="0"/>
    <w:pPr>
      <w:widowControl/>
      <w:pBdr>
        <w:top w:val="single" w:color="auto" w:sz="4" w:space="0"/>
        <w:left w:val="single" w:color="auto" w:sz="4" w:space="0"/>
        <w:bottom w:val="double" w:color="auto" w:sz="6" w:space="0"/>
        <w:right w:val="single" w:color="auto" w:sz="4" w:space="0"/>
      </w:pBdr>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6">
    <w:name w:val="xl29754"/>
    <w:basedOn w:val="1"/>
    <w:qFormat/>
    <w:uiPriority w:val="0"/>
    <w:pPr>
      <w:widowControl/>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77">
    <w:name w:val="xl29755"/>
    <w:basedOn w:val="1"/>
    <w:qFormat/>
    <w:uiPriority w:val="0"/>
    <w:pPr>
      <w:widowControl/>
      <w:pBdr>
        <w:top w:val="single" w:color="auto" w:sz="4" w:space="0"/>
        <w:left w:val="double" w:color="auto" w:sz="6"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678">
    <w:name w:val="xl29756"/>
    <w:basedOn w:val="1"/>
    <w:qFormat/>
    <w:uiPriority w:val="0"/>
    <w:pPr>
      <w:widowControl/>
      <w:pBdr>
        <w:left w:val="double" w:color="auto" w:sz="6"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679">
    <w:name w:val="xl29757"/>
    <w:basedOn w:val="1"/>
    <w:qFormat/>
    <w:uiPriority w:val="0"/>
    <w:pPr>
      <w:widowControl/>
      <w:pBdr>
        <w:left w:val="double" w:color="auto" w:sz="6" w:space="0"/>
        <w:bottom w:val="single" w:color="auto" w:sz="4" w:space="0"/>
        <w:right w:val="single" w:color="auto" w:sz="4" w:space="0"/>
      </w:pBdr>
      <w:spacing w:before="100" w:beforeAutospacing="1" w:after="100" w:afterAutospacing="1"/>
      <w:ind w:firstLine="200" w:firstLineChars="200"/>
      <w:jc w:val="center"/>
      <w:textAlignment w:val="center"/>
    </w:pPr>
    <w:rPr>
      <w:rFonts w:hAnsi="宋体" w:cs="宋体"/>
      <w:kern w:val="0"/>
      <w:szCs w:val="21"/>
    </w:rPr>
  </w:style>
  <w:style w:type="paragraph" w:customStyle="1" w:styleId="1680">
    <w:name w:val="xl29758"/>
    <w:basedOn w:val="1"/>
    <w:qFormat/>
    <w:uiPriority w:val="0"/>
    <w:pPr>
      <w:widowControl/>
      <w:pBdr>
        <w:left w:val="single" w:color="auto" w:sz="4" w:space="0"/>
        <w:right w:val="single" w:color="auto" w:sz="4" w:space="0"/>
      </w:pBdr>
      <w:spacing w:before="100" w:beforeAutospacing="1" w:after="100" w:afterAutospacing="1"/>
      <w:ind w:firstLine="200" w:firstLineChars="200"/>
      <w:jc w:val="left"/>
      <w:textAlignment w:val="center"/>
    </w:pPr>
    <w:rPr>
      <w:rFonts w:hAnsi="宋体" w:cs="宋体"/>
      <w:kern w:val="0"/>
      <w:szCs w:val="21"/>
    </w:rPr>
  </w:style>
  <w:style w:type="paragraph" w:customStyle="1" w:styleId="1681">
    <w:name w:val="xl29759"/>
    <w:basedOn w:val="1"/>
    <w:qFormat/>
    <w:uiPriority w:val="0"/>
    <w:pPr>
      <w:widowControl/>
      <w:pBdr>
        <w:bottom w:val="double" w:color="auto" w:sz="6" w:space="0"/>
      </w:pBdr>
      <w:spacing w:before="100" w:beforeAutospacing="1" w:after="100" w:afterAutospacing="1"/>
      <w:ind w:firstLine="200" w:firstLineChars="200"/>
      <w:jc w:val="center"/>
      <w:textAlignment w:val="center"/>
    </w:pPr>
    <w:rPr>
      <w:rFonts w:hAnsi="宋体" w:cs="宋体"/>
      <w:b/>
      <w:bCs/>
      <w:color w:val="FF0000"/>
      <w:kern w:val="0"/>
      <w:szCs w:val="21"/>
    </w:rPr>
  </w:style>
  <w:style w:type="paragraph" w:customStyle="1" w:styleId="1682">
    <w:name w:val="xl29760"/>
    <w:basedOn w:val="1"/>
    <w:qFormat/>
    <w:uiPriority w:val="0"/>
    <w:pPr>
      <w:widowControl/>
      <w:pBdr>
        <w:top w:val="single" w:color="auto" w:sz="4" w:space="0"/>
        <w:left w:val="double" w:color="auto" w:sz="6" w:space="0"/>
        <w:bottom w:val="double" w:color="auto" w:sz="6"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paragraph" w:customStyle="1" w:styleId="1683">
    <w:name w:val="xl29761"/>
    <w:basedOn w:val="1"/>
    <w:qFormat/>
    <w:uiPriority w:val="0"/>
    <w:pPr>
      <w:widowControl/>
      <w:pBdr>
        <w:top w:val="single" w:color="auto" w:sz="4" w:space="0"/>
        <w:left w:val="single" w:color="auto" w:sz="4" w:space="0"/>
        <w:bottom w:val="double" w:color="auto" w:sz="6" w:space="0"/>
        <w:right w:val="single" w:color="auto" w:sz="4" w:space="0"/>
      </w:pBdr>
      <w:shd w:val="clear" w:color="000000" w:fill="FFFFFF"/>
      <w:spacing w:before="100" w:beforeAutospacing="1" w:after="100" w:afterAutospacing="1"/>
      <w:ind w:firstLine="200" w:firstLineChars="200"/>
      <w:jc w:val="center"/>
      <w:textAlignment w:val="center"/>
    </w:pPr>
    <w:rPr>
      <w:rFonts w:hAnsi="宋体" w:cs="宋体"/>
      <w:b/>
      <w:bCs/>
      <w:kern w:val="0"/>
      <w:szCs w:val="21"/>
    </w:rPr>
  </w:style>
  <w:style w:type="character" w:customStyle="1" w:styleId="1684">
    <w:name w:val="题注 Char"/>
    <w:qFormat/>
    <w:uiPriority w:val="0"/>
    <w:rPr>
      <w:rFonts w:ascii="Calibri Light" w:hAnsi="Calibri Light" w:eastAsia="黑体"/>
      <w:kern w:val="2"/>
    </w:rPr>
  </w:style>
  <w:style w:type="character" w:customStyle="1" w:styleId="1685">
    <w:name w:val="文章正文 字符"/>
    <w:link w:val="1686"/>
    <w:qFormat/>
    <w:uiPriority w:val="0"/>
    <w:rPr>
      <w:rFonts w:eastAsia="仿宋_GB2312"/>
      <w:sz w:val="28"/>
    </w:rPr>
  </w:style>
  <w:style w:type="paragraph" w:customStyle="1" w:styleId="1686">
    <w:name w:val="文章正文"/>
    <w:link w:val="1685"/>
    <w:qFormat/>
    <w:uiPriority w:val="0"/>
    <w:pPr>
      <w:spacing w:line="360" w:lineRule="auto"/>
      <w:ind w:firstLine="200" w:firstLineChars="200"/>
      <w:jc w:val="both"/>
    </w:pPr>
    <w:rPr>
      <w:rFonts w:ascii="Times New Roman" w:hAnsi="Times New Roman" w:eastAsia="仿宋_GB2312" w:cs="Times New Roman"/>
      <w:sz w:val="28"/>
      <w:lang w:val="en-US" w:eastAsia="zh-CN" w:bidi="ar-SA"/>
    </w:rPr>
  </w:style>
  <w:style w:type="character" w:customStyle="1" w:styleId="1687">
    <w:name w:val="标题 3 字符5"/>
    <w:qFormat/>
    <w:uiPriority w:val="0"/>
    <w:rPr>
      <w:rFonts w:ascii="Arial" w:hAnsi="Arial"/>
      <w:b/>
      <w:bCs/>
      <w:kern w:val="2"/>
      <w:sz w:val="28"/>
      <w:szCs w:val="32"/>
    </w:rPr>
  </w:style>
  <w:style w:type="character" w:customStyle="1" w:styleId="1688">
    <w:name w:val="标题 4 字符4"/>
    <w:qFormat/>
    <w:uiPriority w:val="0"/>
    <w:rPr>
      <w:rFonts w:ascii="Arial" w:hAnsi="Arial"/>
      <w:b/>
      <w:bCs/>
      <w:color w:val="000000"/>
      <w:kern w:val="2"/>
      <w:sz w:val="24"/>
      <w:szCs w:val="24"/>
    </w:rPr>
  </w:style>
  <w:style w:type="character" w:customStyle="1" w:styleId="1689">
    <w:name w:val="标题 2 字符5"/>
    <w:qFormat/>
    <w:uiPriority w:val="9"/>
    <w:rPr>
      <w:rFonts w:ascii="Arial" w:hAnsi="Arial"/>
      <w:b/>
      <w:bCs/>
      <w:kern w:val="2"/>
      <w:sz w:val="30"/>
      <w:szCs w:val="32"/>
    </w:rPr>
  </w:style>
  <w:style w:type="character" w:customStyle="1" w:styleId="1690">
    <w:name w:val="标题 9 字符5"/>
    <w:qFormat/>
    <w:uiPriority w:val="0"/>
    <w:rPr>
      <w:rFonts w:ascii="宋体" w:hAnsi="宋体"/>
      <w:b/>
      <w:kern w:val="2"/>
      <w:sz w:val="24"/>
      <w:szCs w:val="21"/>
    </w:rPr>
  </w:style>
  <w:style w:type="character" w:customStyle="1" w:styleId="1691">
    <w:name w:val="正文（缩进） Char"/>
    <w:basedOn w:val="81"/>
    <w:link w:val="905"/>
    <w:qFormat/>
    <w:locked/>
    <w:uiPriority w:val="0"/>
    <w:rPr>
      <w:rFonts w:ascii="Arial" w:hAnsi="Arial"/>
      <w:sz w:val="24"/>
      <w:szCs w:val="18"/>
    </w:rPr>
  </w:style>
  <w:style w:type="character" w:customStyle="1" w:styleId="1692">
    <w:name w:val="样式 宋体"/>
    <w:basedOn w:val="81"/>
    <w:qFormat/>
    <w:uiPriority w:val="0"/>
  </w:style>
  <w:style w:type="paragraph" w:customStyle="1" w:styleId="1693">
    <w:name w:val="标题 3，三级标题"/>
    <w:basedOn w:val="5"/>
    <w:link w:val="1694"/>
    <w:qFormat/>
    <w:uiPriority w:val="0"/>
    <w:pPr>
      <w:keepNext w:val="0"/>
      <w:keepLines w:val="0"/>
      <w:widowControl/>
      <w:adjustRightInd w:val="0"/>
      <w:snapToGrid w:val="0"/>
      <w:spacing w:before="120" w:beforeLines="50" w:afterLines="50" w:line="360" w:lineRule="auto"/>
      <w:ind w:left="720" w:hanging="720"/>
    </w:pPr>
    <w:rPr>
      <w:rFonts w:ascii="Times New Roman" w:hAnsi="Times New Roman"/>
      <w:kern w:val="0"/>
      <w:sz w:val="30"/>
      <w:szCs w:val="30"/>
    </w:rPr>
  </w:style>
  <w:style w:type="character" w:customStyle="1" w:styleId="1694">
    <w:name w:val="标题 3，三级标题 字符"/>
    <w:basedOn w:val="81"/>
    <w:link w:val="1693"/>
    <w:qFormat/>
    <w:uiPriority w:val="0"/>
    <w:rPr>
      <w:b/>
      <w:bCs/>
      <w:sz w:val="30"/>
      <w:szCs w:val="30"/>
    </w:rPr>
  </w:style>
  <w:style w:type="table" w:customStyle="1" w:styleId="1695">
    <w:name w:val="专业型11"/>
    <w:basedOn w:val="75"/>
    <w:qFormat/>
    <w:uiPriority w:val="0"/>
    <w:pPr>
      <w:widowControl w:val="0"/>
      <w:numPr>
        <w:ilvl w:val="1"/>
        <w:numId w:val="24"/>
      </w:numPr>
      <w:tabs>
        <w:tab w:val="left" w:pos="1440"/>
        <w:tab w:val="clear" w:pos="840"/>
      </w:tabs>
      <w:ind w:left="576" w:hanging="576"/>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character" w:customStyle="1" w:styleId="1696">
    <w:name w:val="未处理的提及8"/>
    <w:basedOn w:val="81"/>
    <w:semiHidden/>
    <w:unhideWhenUsed/>
    <w:qFormat/>
    <w:uiPriority w:val="99"/>
    <w:rPr>
      <w:color w:val="605E5C"/>
      <w:shd w:val="clear" w:color="auto" w:fill="E1DFDD"/>
    </w:rPr>
  </w:style>
  <w:style w:type="character" w:customStyle="1" w:styleId="1697">
    <w:name w:val="表格非标题文字 Char Char"/>
    <w:link w:val="1698"/>
    <w:qFormat/>
    <w:locked/>
    <w:uiPriority w:val="0"/>
    <w:rPr>
      <w:rFonts w:ascii="Futura Bk" w:hAnsi="Futura Bk"/>
      <w:sz w:val="18"/>
      <w:szCs w:val="21"/>
    </w:rPr>
  </w:style>
  <w:style w:type="paragraph" w:customStyle="1" w:styleId="1698">
    <w:name w:val="表格非标题文字"/>
    <w:link w:val="1697"/>
    <w:qFormat/>
    <w:uiPriority w:val="0"/>
    <w:pPr>
      <w:snapToGrid w:val="0"/>
      <w:spacing w:before="80" w:after="40"/>
    </w:pPr>
    <w:rPr>
      <w:rFonts w:ascii="Futura Bk" w:hAnsi="Futura Bk" w:eastAsia="宋体" w:cs="Times New Roman"/>
      <w:sz w:val="18"/>
      <w:szCs w:val="21"/>
      <w:lang w:val="en-US" w:eastAsia="zh-CN" w:bidi="ar-SA"/>
    </w:rPr>
  </w:style>
  <w:style w:type="character" w:customStyle="1" w:styleId="1699">
    <w:name w:val="z-窗体顶端 字符1"/>
    <w:link w:val="1700"/>
    <w:qFormat/>
    <w:uiPriority w:val="0"/>
    <w:rPr>
      <w:rFonts w:ascii="Arial" w:hAnsi="Arial" w:cs="Arial"/>
      <w:vanish/>
      <w:sz w:val="16"/>
      <w:szCs w:val="16"/>
    </w:rPr>
  </w:style>
  <w:style w:type="paragraph" w:customStyle="1" w:styleId="1700">
    <w:name w:val="z-窗体顶端21"/>
    <w:basedOn w:val="1"/>
    <w:next w:val="1"/>
    <w:link w:val="1699"/>
    <w:qFormat/>
    <w:uiPriority w:val="0"/>
    <w:pPr>
      <w:widowControl/>
      <w:pBdr>
        <w:bottom w:val="single" w:color="auto" w:sz="6" w:space="1"/>
      </w:pBdr>
      <w:jc w:val="center"/>
    </w:pPr>
    <w:rPr>
      <w:rFonts w:ascii="Arial" w:hAnsi="Arial" w:cs="Arial"/>
      <w:vanish/>
      <w:kern w:val="0"/>
      <w:sz w:val="16"/>
      <w:szCs w:val="16"/>
    </w:rPr>
  </w:style>
  <w:style w:type="character" w:customStyle="1" w:styleId="1701">
    <w:name w:val="z-窗体底端 字符1"/>
    <w:link w:val="1702"/>
    <w:qFormat/>
    <w:uiPriority w:val="0"/>
    <w:rPr>
      <w:rFonts w:ascii="Arial" w:hAnsi="Arial" w:cs="Arial"/>
      <w:vanish/>
      <w:sz w:val="16"/>
      <w:szCs w:val="16"/>
    </w:rPr>
  </w:style>
  <w:style w:type="paragraph" w:customStyle="1" w:styleId="1702">
    <w:name w:val="z-窗体底端21"/>
    <w:basedOn w:val="1"/>
    <w:next w:val="1"/>
    <w:link w:val="1701"/>
    <w:qFormat/>
    <w:uiPriority w:val="0"/>
    <w:pPr>
      <w:widowControl/>
      <w:pBdr>
        <w:top w:val="single" w:color="auto" w:sz="6" w:space="1"/>
      </w:pBdr>
      <w:jc w:val="center"/>
    </w:pPr>
    <w:rPr>
      <w:rFonts w:ascii="Arial" w:hAnsi="Arial" w:cs="Arial"/>
      <w:vanish/>
      <w:kern w:val="0"/>
      <w:sz w:val="16"/>
      <w:szCs w:val="16"/>
    </w:rPr>
  </w:style>
  <w:style w:type="paragraph" w:customStyle="1" w:styleId="1703">
    <w:name w:val="TOC 标题21"/>
    <w:basedOn w:val="3"/>
    <w:next w:val="1"/>
    <w:qFormat/>
    <w:uiPriority w:val="39"/>
    <w:pPr>
      <w:widowControl/>
      <w:numPr>
        <w:numId w:val="0"/>
      </w:numPr>
      <w:spacing w:before="480" w:line="276" w:lineRule="auto"/>
      <w:jc w:val="left"/>
      <w:outlineLvl w:val="9"/>
    </w:pPr>
    <w:rPr>
      <w:rFonts w:ascii="Cambria" w:hAnsi="Cambria"/>
      <w:bCs/>
      <w:color w:val="365F91"/>
      <w:kern w:val="0"/>
      <w:sz w:val="28"/>
      <w:szCs w:val="28"/>
    </w:rPr>
  </w:style>
  <w:style w:type="paragraph" w:customStyle="1" w:styleId="1704">
    <w:name w:val="修订31"/>
    <w:hidden/>
    <w:semiHidden/>
    <w:qFormat/>
    <w:uiPriority w:val="99"/>
    <w:rPr>
      <w:rFonts w:ascii="Times New Roman" w:hAnsi="Times New Roman" w:eastAsia="宋体" w:cs="Times New Roman"/>
      <w:kern w:val="2"/>
      <w:sz w:val="21"/>
      <w:szCs w:val="24"/>
      <w:lang w:val="en-US" w:eastAsia="zh-CN" w:bidi="ar-SA"/>
    </w:rPr>
  </w:style>
  <w:style w:type="character" w:customStyle="1" w:styleId="1705">
    <w:name w:val="未处理的提及81"/>
    <w:basedOn w:val="81"/>
    <w:semiHidden/>
    <w:unhideWhenUsed/>
    <w:qFormat/>
    <w:uiPriority w:val="99"/>
    <w:rPr>
      <w:color w:val="605E5C"/>
      <w:shd w:val="clear" w:color="auto" w:fill="E1DFDD"/>
    </w:rPr>
  </w:style>
  <w:style w:type="character" w:customStyle="1" w:styleId="1706">
    <w:name w:val="标题 8 Char2"/>
    <w:qFormat/>
    <w:locked/>
    <w:uiPriority w:val="0"/>
    <w:rPr>
      <w:rFonts w:ascii="宋体" w:hAnsi="宋体"/>
      <w:b/>
      <w:kern w:val="2"/>
      <w:sz w:val="24"/>
      <w:szCs w:val="21"/>
    </w:rPr>
  </w:style>
  <w:style w:type="character" w:customStyle="1" w:styleId="1707">
    <w:name w:val="列出段落 字符"/>
    <w:qFormat/>
    <w:locked/>
    <w:uiPriority w:val="34"/>
    <w:rPr>
      <w:rFonts w:ascii="宋体" w:cs="Times New Roman"/>
      <w:kern w:val="2"/>
      <w:sz w:val="24"/>
      <w:szCs w:val="22"/>
    </w:rPr>
  </w:style>
  <w:style w:type="character" w:customStyle="1" w:styleId="1708">
    <w:name w:val="标题 1 字符"/>
    <w:qFormat/>
    <w:uiPriority w:val="0"/>
    <w:rPr>
      <w:b/>
      <w:kern w:val="44"/>
      <w:sz w:val="48"/>
      <w:szCs w:val="44"/>
    </w:rPr>
  </w:style>
  <w:style w:type="character" w:customStyle="1" w:styleId="1709">
    <w:name w:val="标题 4 字符"/>
    <w:qFormat/>
    <w:uiPriority w:val="0"/>
    <w:rPr>
      <w:rFonts w:ascii="Cambria" w:hAnsi="Cambria"/>
      <w:b/>
      <w:kern w:val="2"/>
      <w:sz w:val="36"/>
      <w:szCs w:val="28"/>
    </w:rPr>
  </w:style>
  <w:style w:type="character" w:customStyle="1" w:styleId="1710">
    <w:name w:val="标题 6 字符"/>
    <w:qFormat/>
    <w:uiPriority w:val="0"/>
    <w:rPr>
      <w:rFonts w:ascii="Cambria" w:hAnsi="Cambria" w:eastAsia="宋体" w:cs="Times New Roman"/>
      <w:b/>
      <w:sz w:val="30"/>
      <w:szCs w:val="24"/>
    </w:rPr>
  </w:style>
  <w:style w:type="character" w:customStyle="1" w:styleId="1711">
    <w:name w:val="标题 7 字符"/>
    <w:qFormat/>
    <w:uiPriority w:val="0"/>
    <w:rPr>
      <w:b/>
      <w:sz w:val="28"/>
      <w:szCs w:val="24"/>
    </w:rPr>
  </w:style>
  <w:style w:type="character" w:customStyle="1" w:styleId="1712">
    <w:name w:val="标题 8 字符"/>
    <w:qFormat/>
    <w:uiPriority w:val="9"/>
    <w:rPr>
      <w:rFonts w:ascii="Cambria" w:hAnsi="Cambria" w:eastAsia="宋体" w:cs="Times New Roman"/>
      <w:bCs/>
      <w:sz w:val="28"/>
      <w:szCs w:val="24"/>
    </w:rPr>
  </w:style>
  <w:style w:type="character" w:customStyle="1" w:styleId="1713">
    <w:name w:val="标题 9 字符"/>
    <w:qFormat/>
    <w:uiPriority w:val="9"/>
    <w:rPr>
      <w:rFonts w:ascii="Cambria" w:hAnsi="Cambria" w:eastAsia="宋体" w:cs="Times New Roman"/>
      <w:bCs/>
      <w:sz w:val="24"/>
      <w:szCs w:val="21"/>
    </w:rPr>
  </w:style>
  <w:style w:type="character" w:customStyle="1" w:styleId="1714">
    <w:name w:val="页眉 字符"/>
    <w:qFormat/>
    <w:uiPriority w:val="0"/>
    <w:rPr>
      <w:sz w:val="18"/>
      <w:szCs w:val="18"/>
    </w:rPr>
  </w:style>
  <w:style w:type="character" w:customStyle="1" w:styleId="1715">
    <w:name w:val="页脚 字符"/>
    <w:qFormat/>
    <w:uiPriority w:val="99"/>
    <w:rPr>
      <w:sz w:val="18"/>
      <w:szCs w:val="18"/>
    </w:rPr>
  </w:style>
  <w:style w:type="character" w:customStyle="1" w:styleId="1716">
    <w:name w:val="文档结构图 字符"/>
    <w:qFormat/>
    <w:uiPriority w:val="99"/>
    <w:rPr>
      <w:rFonts w:ascii="Times New Roman" w:hAnsi="Times New Roman" w:eastAsia="宋体" w:cs="Times New Roman"/>
      <w:sz w:val="24"/>
      <w:szCs w:val="24"/>
      <w:shd w:val="clear" w:color="auto" w:fill="000080"/>
    </w:rPr>
  </w:style>
  <w:style w:type="character" w:customStyle="1" w:styleId="1717">
    <w:name w:val="批注框文本 字符"/>
    <w:qFormat/>
    <w:uiPriority w:val="0"/>
    <w:rPr>
      <w:rFonts w:ascii="Times New Roman" w:hAnsi="Times New Roman" w:eastAsia="宋体" w:cs="Times New Roman"/>
      <w:sz w:val="18"/>
      <w:szCs w:val="18"/>
    </w:rPr>
  </w:style>
  <w:style w:type="character" w:customStyle="1" w:styleId="1718">
    <w:name w:val="批注文字 字符"/>
    <w:qFormat/>
    <w:uiPriority w:val="0"/>
    <w:rPr>
      <w:rFonts w:ascii="Times New Roman" w:hAnsi="Times New Roman" w:eastAsia="宋体" w:cs="Times New Roman"/>
      <w:szCs w:val="20"/>
    </w:rPr>
  </w:style>
  <w:style w:type="character" w:customStyle="1" w:styleId="1719">
    <w:name w:val="标题 字符"/>
    <w:qFormat/>
    <w:uiPriority w:val="0"/>
    <w:rPr>
      <w:rFonts w:ascii="Arial" w:hAnsi="Arial" w:eastAsia="黑体" w:cs="Times New Roman"/>
      <w:sz w:val="48"/>
      <w:szCs w:val="20"/>
    </w:rPr>
  </w:style>
  <w:style w:type="character" w:customStyle="1" w:styleId="1720">
    <w:name w:val="批注主题 字符"/>
    <w:qFormat/>
    <w:uiPriority w:val="0"/>
    <w:rPr>
      <w:rFonts w:ascii="Times New Roman" w:hAnsi="Times New Roman" w:eastAsia="宋体" w:cs="Times New Roman"/>
      <w:b/>
      <w:bCs/>
      <w:sz w:val="24"/>
      <w:szCs w:val="24"/>
    </w:rPr>
  </w:style>
  <w:style w:type="table" w:customStyle="1" w:styleId="1721">
    <w:name w:val="专业型2"/>
    <w:basedOn w:val="75"/>
    <w:qFormat/>
    <w:uiPriority w:val="0"/>
    <w:pPr>
      <w:widowControl w:val="0"/>
      <w:numPr>
        <w:ilvl w:val="1"/>
        <w:numId w:val="24"/>
      </w:numPr>
      <w:tabs>
        <w:tab w:val="left" w:pos="780"/>
        <w:tab w:val="left" w:pos="1400"/>
        <w:tab w:val="left" w:pos="1440"/>
        <w:tab w:val="clear" w:pos="840"/>
      </w:tabs>
      <w:ind w:left="576" w:leftChars="200" w:hanging="576" w:hangingChars="20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paragraph" w:customStyle="1" w:styleId="1722">
    <w:name w:val="长威正文"/>
    <w:basedOn w:val="1"/>
    <w:qFormat/>
    <w:uiPriority w:val="0"/>
    <w:pPr>
      <w:spacing w:line="360" w:lineRule="auto"/>
      <w:ind w:firstLine="200" w:firstLineChars="200"/>
    </w:pPr>
  </w:style>
  <w:style w:type="table" w:customStyle="1" w:styleId="1723">
    <w:name w:val="专业型3"/>
    <w:basedOn w:val="75"/>
    <w:qFormat/>
    <w:uiPriority w:val="0"/>
    <w:pPr>
      <w:widowControl w:val="0"/>
      <w:numPr>
        <w:ilvl w:val="1"/>
        <w:numId w:val="24"/>
      </w:numPr>
      <w:tabs>
        <w:tab w:val="left" w:pos="780"/>
        <w:tab w:val="left" w:pos="1400"/>
        <w:tab w:val="left" w:pos="1440"/>
        <w:tab w:val="clear" w:pos="840"/>
      </w:tabs>
      <w:ind w:left="576" w:leftChars="200" w:hanging="576" w:hangingChars="20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table" w:customStyle="1" w:styleId="1724">
    <w:name w:val="专业型12"/>
    <w:basedOn w:val="75"/>
    <w:qFormat/>
    <w:uiPriority w:val="0"/>
    <w:pPr>
      <w:widowControl w:val="0"/>
      <w:numPr>
        <w:ilvl w:val="1"/>
        <w:numId w:val="24"/>
      </w:numPr>
      <w:tabs>
        <w:tab w:val="left" w:pos="1440"/>
        <w:tab w:val="clear" w:pos="840"/>
      </w:tabs>
      <w:ind w:left="576" w:hanging="576"/>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character" w:customStyle="1" w:styleId="1725">
    <w:name w:val="未处理的提及9"/>
    <w:basedOn w:val="81"/>
    <w:semiHidden/>
    <w:unhideWhenUsed/>
    <w:qFormat/>
    <w:uiPriority w:val="99"/>
    <w:rPr>
      <w:color w:val="605E5C"/>
      <w:shd w:val="clear" w:color="auto" w:fill="E1DFDD"/>
    </w:rPr>
  </w:style>
  <w:style w:type="table" w:customStyle="1" w:styleId="1726">
    <w:name w:val="专业型21"/>
    <w:basedOn w:val="75"/>
    <w:qFormat/>
    <w:uiPriority w:val="0"/>
    <w:pPr>
      <w:widowControl w:val="0"/>
      <w:numPr>
        <w:ilvl w:val="1"/>
        <w:numId w:val="24"/>
      </w:numPr>
      <w:tabs>
        <w:tab w:val="left" w:pos="780"/>
        <w:tab w:val="left" w:pos="1400"/>
        <w:tab w:val="left" w:pos="1440"/>
        <w:tab w:val="clear" w:pos="840"/>
      </w:tabs>
      <w:ind w:left="576" w:leftChars="200" w:hanging="576" w:hangingChars="20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table" w:customStyle="1" w:styleId="1727">
    <w:name w:val="专业型111"/>
    <w:basedOn w:val="75"/>
    <w:qFormat/>
    <w:uiPriority w:val="0"/>
    <w:pPr>
      <w:widowControl w:val="0"/>
      <w:numPr>
        <w:ilvl w:val="1"/>
        <w:numId w:val="24"/>
      </w:numPr>
      <w:tabs>
        <w:tab w:val="left" w:pos="1440"/>
        <w:tab w:val="clear" w:pos="840"/>
      </w:tabs>
      <w:ind w:left="576" w:hanging="576"/>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cPr>
        <w:tcBorders>
          <w:tl2br w:val="nil"/>
          <w:tr2bl w:val="nil"/>
        </w:tcBorders>
        <w:shd w:val="solid" w:color="000000" w:fill="FFFFFF"/>
      </w:tcPr>
    </w:tblStylePr>
  </w:style>
  <w:style w:type="paragraph" w:customStyle="1" w:styleId="1728">
    <w:name w:val="Sub Item List in Table"/>
    <w:basedOn w:val="1"/>
    <w:qFormat/>
    <w:uiPriority w:val="0"/>
    <w:pPr>
      <w:widowControl/>
      <w:tabs>
        <w:tab w:val="left" w:pos="568"/>
      </w:tabs>
      <w:topLinePunct/>
      <w:adjustRightInd w:val="0"/>
      <w:snapToGrid w:val="0"/>
      <w:spacing w:before="80" w:after="80" w:line="240" w:lineRule="atLeast"/>
      <w:ind w:left="568" w:hanging="284"/>
      <w:jc w:val="left"/>
    </w:pPr>
    <w:rPr>
      <w:rFonts w:hint="eastAsia" w:cs="Arial"/>
      <w:szCs w:val="21"/>
    </w:rPr>
  </w:style>
  <w:style w:type="paragraph" w:customStyle="1" w:styleId="1729">
    <w:name w:val="Sub Item Step in Table"/>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730">
    <w:name w:val="Sub Item Step in Table List"/>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731">
    <w:name w:val="Sub Item List in Table Step"/>
    <w:basedOn w:val="1"/>
    <w:qFormat/>
    <w:uiPriority w:val="0"/>
    <w:pPr>
      <w:widowControl/>
      <w:tabs>
        <w:tab w:val="left" w:pos="568"/>
      </w:tabs>
      <w:topLinePunct/>
      <w:adjustRightInd w:val="0"/>
      <w:snapToGrid w:val="0"/>
      <w:spacing w:before="80" w:after="80" w:line="240" w:lineRule="atLeast"/>
      <w:ind w:left="568" w:hanging="284"/>
      <w:jc w:val="left"/>
    </w:pPr>
    <w:rPr>
      <w:rFonts w:hint="eastAsia" w:cs="Arial"/>
      <w:szCs w:val="21"/>
    </w:rPr>
  </w:style>
  <w:style w:type="paragraph" w:customStyle="1" w:styleId="1732">
    <w:name w:val="CAUTION Text Step"/>
    <w:basedOn w:val="1"/>
    <w:qFormat/>
    <w:uiPriority w:val="0"/>
    <w:pPr>
      <w:keepNext/>
      <w:keepLines/>
      <w:widowControl/>
      <w:pBdr>
        <w:bottom w:val="single" w:color="auto" w:sz="12" w:space="4"/>
      </w:pBdr>
      <w:tabs>
        <w:tab w:val="left" w:pos="1985"/>
      </w:tabs>
      <w:topLinePunct/>
      <w:adjustRightInd w:val="0"/>
      <w:snapToGrid w:val="0"/>
      <w:spacing w:before="80" w:after="80" w:line="240" w:lineRule="atLeast"/>
      <w:ind w:left="1985" w:hanging="284"/>
      <w:jc w:val="left"/>
    </w:pPr>
    <w:rPr>
      <w:rFonts w:hint="eastAsia" w:eastAsia="楷体_GB2312" w:cs="Arial"/>
      <w:iCs/>
      <w:szCs w:val="21"/>
    </w:rPr>
  </w:style>
  <w:style w:type="paragraph" w:customStyle="1" w:styleId="1733">
    <w:name w:val="Notes Text Step in Table"/>
    <w:qFormat/>
    <w:uiPriority w:val="0"/>
    <w:pPr>
      <w:tabs>
        <w:tab w:val="left" w:pos="454"/>
      </w:tabs>
      <w:spacing w:before="40" w:after="80" w:line="200" w:lineRule="atLeast"/>
      <w:ind w:left="454" w:hanging="284"/>
    </w:pPr>
    <w:rPr>
      <w:rFonts w:ascii="Times New Roman" w:hAnsi="Times New Roman" w:eastAsia="楷体_GB2312" w:cs="楷体_GB2312"/>
      <w:sz w:val="18"/>
      <w:szCs w:val="18"/>
      <w:lang w:val="en-US" w:eastAsia="zh-CN" w:bidi="ar-SA"/>
    </w:rPr>
  </w:style>
  <w:style w:type="paragraph" w:customStyle="1" w:styleId="1734">
    <w:name w:val="Notes Text Step"/>
    <w:basedOn w:val="1732"/>
    <w:qFormat/>
    <w:uiPriority w:val="0"/>
    <w:pPr>
      <w:pBdr>
        <w:bottom w:val="none" w:color="auto" w:sz="0" w:space="0"/>
      </w:pBdr>
      <w:tabs>
        <w:tab w:val="left" w:pos="2359"/>
        <w:tab w:val="clear" w:pos="1985"/>
      </w:tabs>
      <w:spacing w:before="40" w:line="200" w:lineRule="atLeast"/>
      <w:ind w:left="2359"/>
    </w:pPr>
    <w:rPr>
      <w:sz w:val="18"/>
      <w:szCs w:val="18"/>
    </w:rPr>
  </w:style>
  <w:style w:type="paragraph" w:customStyle="1" w:styleId="1735">
    <w:name w:val="Sub Item Step"/>
    <w:qFormat/>
    <w:uiPriority w:val="0"/>
    <w:pPr>
      <w:tabs>
        <w:tab w:val="left" w:pos="2551"/>
      </w:tabs>
      <w:adjustRightInd w:val="0"/>
      <w:snapToGrid w:val="0"/>
      <w:spacing w:before="80" w:after="80" w:line="240" w:lineRule="atLeast"/>
      <w:ind w:left="2551" w:hanging="425"/>
    </w:pPr>
    <w:rPr>
      <w:rFonts w:hint="eastAsia" w:ascii="Times New Roman" w:hAnsi="Times New Roman" w:eastAsia="宋体" w:cs="Arial"/>
      <w:sz w:val="21"/>
      <w:szCs w:val="21"/>
      <w:lang w:val="en-US" w:eastAsia="zh-CN" w:bidi="ar-SA"/>
    </w:rPr>
  </w:style>
  <w:style w:type="paragraph" w:customStyle="1" w:styleId="1736">
    <w:name w:val="Third Level Item Step"/>
    <w:qFormat/>
    <w:uiPriority w:val="0"/>
    <w:pPr>
      <w:tabs>
        <w:tab w:val="left" w:pos="2976"/>
      </w:tabs>
      <w:adjustRightInd w:val="0"/>
      <w:snapToGrid w:val="0"/>
      <w:spacing w:before="80" w:after="80" w:line="240" w:lineRule="atLeast"/>
      <w:ind w:left="2976" w:hanging="425"/>
    </w:pPr>
    <w:rPr>
      <w:rFonts w:hint="eastAsia" w:ascii="Times New Roman" w:hAnsi="Times New Roman" w:eastAsia="宋体" w:cs="Arial"/>
      <w:sz w:val="21"/>
      <w:szCs w:val="21"/>
      <w:lang w:val="en-US" w:eastAsia="zh-CN" w:bidi="ar-SA"/>
    </w:rPr>
  </w:style>
  <w:style w:type="paragraph" w:customStyle="1" w:styleId="1737">
    <w:name w:val="Fourth Level Item Step"/>
    <w:qFormat/>
    <w:uiPriority w:val="0"/>
    <w:pPr>
      <w:tabs>
        <w:tab w:val="left" w:pos="3401"/>
      </w:tabs>
      <w:adjustRightInd w:val="0"/>
      <w:snapToGrid w:val="0"/>
      <w:spacing w:before="80" w:after="80" w:line="240" w:lineRule="atLeast"/>
      <w:ind w:left="3401" w:hanging="425"/>
    </w:pPr>
    <w:rPr>
      <w:rFonts w:hint="eastAsia" w:ascii="Times New Roman" w:hAnsi="Times New Roman" w:eastAsia="宋体" w:cs="Arial"/>
      <w:sz w:val="21"/>
      <w:szCs w:val="21"/>
      <w:lang w:val="en-US" w:eastAsia="zh-CN" w:bidi="ar-SA"/>
    </w:rPr>
  </w:style>
  <w:style w:type="paragraph" w:customStyle="1" w:styleId="1738">
    <w:name w:val="Sub Item List"/>
    <w:basedOn w:val="1"/>
    <w:qFormat/>
    <w:uiPriority w:val="0"/>
    <w:pPr>
      <w:widowControl/>
      <w:topLinePunct/>
      <w:adjustRightInd w:val="0"/>
      <w:snapToGrid w:val="0"/>
      <w:spacing w:before="80" w:after="80" w:line="240" w:lineRule="atLeast"/>
      <w:jc w:val="left"/>
    </w:pPr>
    <w:rPr>
      <w:rFonts w:hint="eastAsia" w:cs="Arial"/>
      <w:szCs w:val="21"/>
    </w:rPr>
  </w:style>
  <w:style w:type="paragraph" w:customStyle="1" w:styleId="1739">
    <w:name w:val="Third Level Item List"/>
    <w:basedOn w:val="1"/>
    <w:qFormat/>
    <w:uiPriority w:val="0"/>
    <w:pPr>
      <w:widowControl/>
      <w:numPr>
        <w:ilvl w:val="1"/>
        <w:numId w:val="57"/>
      </w:numPr>
      <w:topLinePunct/>
      <w:adjustRightInd w:val="0"/>
      <w:snapToGrid w:val="0"/>
      <w:spacing w:before="80" w:after="80" w:line="240" w:lineRule="atLeast"/>
      <w:jc w:val="left"/>
    </w:pPr>
    <w:rPr>
      <w:rFonts w:hint="eastAsia" w:cs="Arial"/>
      <w:szCs w:val="21"/>
    </w:rPr>
  </w:style>
  <w:style w:type="paragraph" w:customStyle="1" w:styleId="1740">
    <w:name w:val="Fourth Level Item List"/>
    <w:basedOn w:val="1"/>
    <w:qFormat/>
    <w:uiPriority w:val="0"/>
    <w:pPr>
      <w:widowControl/>
      <w:numPr>
        <w:ilvl w:val="2"/>
        <w:numId w:val="57"/>
      </w:numPr>
      <w:topLinePunct/>
      <w:adjustRightInd w:val="0"/>
      <w:snapToGrid w:val="0"/>
      <w:spacing w:before="80" w:after="80" w:line="240" w:lineRule="atLeast"/>
      <w:jc w:val="left"/>
    </w:pPr>
    <w:rPr>
      <w:rFonts w:hint="eastAsia" w:cs="Arial"/>
      <w:szCs w:val="21"/>
    </w:rPr>
  </w:style>
  <w:style w:type="paragraph" w:customStyle="1" w:styleId="1741">
    <w:name w:val="Sub Item List Text"/>
    <w:qFormat/>
    <w:uiPriority w:val="0"/>
    <w:pPr>
      <w:adjustRightInd w:val="0"/>
      <w:snapToGrid w:val="0"/>
      <w:spacing w:before="80" w:after="80" w:line="240" w:lineRule="atLeast"/>
      <w:ind w:left="2551"/>
    </w:pPr>
    <w:rPr>
      <w:rFonts w:hint="eastAsia" w:ascii="Times New Roman" w:hAnsi="Times New Roman" w:eastAsia="宋体" w:cs="Arial"/>
      <w:kern w:val="2"/>
      <w:sz w:val="21"/>
      <w:szCs w:val="21"/>
      <w:lang w:val="en-US" w:eastAsia="zh-CN" w:bidi="ar-SA"/>
    </w:rPr>
  </w:style>
  <w:style w:type="paragraph" w:customStyle="1" w:styleId="1742">
    <w:name w:val="CM图片居中"/>
    <w:basedOn w:val="1"/>
    <w:link w:val="1743"/>
    <w:qFormat/>
    <w:uiPriority w:val="0"/>
    <w:pPr>
      <w:widowControl/>
      <w:jc w:val="center"/>
    </w:pPr>
    <w:rPr>
      <w:rFonts w:ascii="Calibri" w:hAnsi="Calibri"/>
      <w:szCs w:val="22"/>
    </w:rPr>
  </w:style>
  <w:style w:type="character" w:customStyle="1" w:styleId="1743">
    <w:name w:val="CM图片居中 Char"/>
    <w:basedOn w:val="81"/>
    <w:link w:val="1742"/>
    <w:qFormat/>
    <w:uiPriority w:val="0"/>
    <w:rPr>
      <w:rFonts w:ascii="Calibri" w:hAnsi="Calibri"/>
      <w:kern w:val="2"/>
      <w:sz w:val="21"/>
      <w:szCs w:val="22"/>
    </w:rPr>
  </w:style>
  <w:style w:type="paragraph" w:customStyle="1" w:styleId="1744">
    <w:name w:val="表格文字（居中）"/>
    <w:basedOn w:val="1"/>
    <w:link w:val="1745"/>
    <w:qFormat/>
    <w:uiPriority w:val="0"/>
    <w:pPr>
      <w:jc w:val="center"/>
    </w:pPr>
    <w:rPr>
      <w:rFonts w:eastAsia="仿宋_GB2312"/>
    </w:rPr>
  </w:style>
  <w:style w:type="character" w:customStyle="1" w:styleId="1745">
    <w:name w:val="表格文字（居中） Char"/>
    <w:link w:val="1744"/>
    <w:qFormat/>
    <w:locked/>
    <w:uiPriority w:val="0"/>
    <w:rPr>
      <w:rFonts w:eastAsia="仿宋_GB2312"/>
      <w:kern w:val="2"/>
      <w:sz w:val="24"/>
      <w:szCs w:val="24"/>
    </w:rPr>
  </w:style>
  <w:style w:type="paragraph" w:customStyle="1" w:styleId="1746">
    <w:name w:val="表格首行"/>
    <w:basedOn w:val="1"/>
    <w:qFormat/>
    <w:uiPriority w:val="0"/>
    <w:pPr>
      <w:spacing w:line="360" w:lineRule="exact"/>
      <w:jc w:val="center"/>
    </w:pPr>
    <w:rPr>
      <w:rFonts w:eastAsia="仿宋_GB2312"/>
      <w:b/>
      <w:kern w:val="0"/>
    </w:rPr>
  </w:style>
  <w:style w:type="paragraph" w:customStyle="1" w:styleId="1747">
    <w:name w:val="表格标题/图片标题/日期格式/图片居中"/>
    <w:next w:val="1686"/>
    <w:qFormat/>
    <w:uiPriority w:val="0"/>
    <w:pPr>
      <w:jc w:val="center"/>
    </w:pPr>
    <w:rPr>
      <w:rFonts w:ascii="Times New Roman" w:hAnsi="Times New Roman" w:eastAsia="宋体" w:cs="Times New Roman"/>
      <w:b/>
      <w:kern w:val="2"/>
      <w:sz w:val="21"/>
      <w:szCs w:val="24"/>
      <w:lang w:val="en-US" w:eastAsia="zh-CN" w:bidi="ar-SA"/>
    </w:rPr>
  </w:style>
  <w:style w:type="paragraph" w:customStyle="1" w:styleId="1748">
    <w:name w:val="FC表格顶头"/>
    <w:basedOn w:val="244"/>
    <w:link w:val="1749"/>
    <w:qFormat/>
    <w:uiPriority w:val="0"/>
    <w:pPr>
      <w:widowControl w:val="0"/>
      <w:snapToGrid w:val="0"/>
      <w:spacing w:line="276" w:lineRule="auto"/>
    </w:pPr>
    <w:rPr>
      <w:rFonts w:ascii="Times New Roman"/>
      <w:b/>
      <w:sz w:val="21"/>
      <w:lang w:val="en-US"/>
    </w:rPr>
  </w:style>
  <w:style w:type="character" w:customStyle="1" w:styleId="1749">
    <w:name w:val="FC表格顶头 Char"/>
    <w:link w:val="1748"/>
    <w:qFormat/>
    <w:uiPriority w:val="0"/>
    <w:rPr>
      <w:b/>
      <w:sz w:val="21"/>
    </w:rPr>
  </w:style>
  <w:style w:type="paragraph" w:customStyle="1" w:styleId="1750">
    <w:name w:val="正文文本首行缩进1"/>
    <w:basedOn w:val="1"/>
    <w:qFormat/>
    <w:uiPriority w:val="0"/>
    <w:pPr>
      <w:spacing w:after="120"/>
      <w:ind w:firstLine="420" w:firstLineChars="100"/>
    </w:pPr>
    <w:rPr>
      <w:rFonts w:hAnsi="Calibri"/>
      <w:lang w:val="zh-CN"/>
    </w:rPr>
  </w:style>
  <w:style w:type="character" w:customStyle="1" w:styleId="1751">
    <w:name w:val="FC列表8 字符"/>
    <w:link w:val="1752"/>
    <w:qFormat/>
    <w:uiPriority w:val="0"/>
  </w:style>
  <w:style w:type="paragraph" w:customStyle="1" w:styleId="1752">
    <w:name w:val="FC列表8"/>
    <w:basedOn w:val="374"/>
    <w:link w:val="1751"/>
    <w:qFormat/>
    <w:uiPriority w:val="0"/>
    <w:pPr>
      <w:adjustRightInd w:val="0"/>
      <w:spacing w:before="120" w:beforeLines="0" w:after="120" w:afterLines="0" w:line="360" w:lineRule="auto"/>
      <w:ind w:firstLine="709" w:firstLineChars="0"/>
      <w:contextualSpacing w:val="0"/>
    </w:pPr>
    <w:rPr>
      <w:rFonts w:ascii="Times New Roman" w:hAnsi="Times New Roman"/>
      <w:kern w:val="0"/>
      <w:sz w:val="20"/>
      <w:szCs w:val="20"/>
    </w:rPr>
  </w:style>
  <w:style w:type="character" w:customStyle="1" w:styleId="1753">
    <w:name w:val="*正文 Char Char"/>
    <w:qFormat/>
    <w:uiPriority w:val="0"/>
    <w:rPr>
      <w:rFonts w:ascii="宋体" w:hAnsi="宋体" w:eastAsia="宋体" w:cs="Times New Roman"/>
      <w:szCs w:val="24"/>
    </w:rPr>
  </w:style>
  <w:style w:type="character" w:customStyle="1" w:styleId="1754">
    <w:name w:val="FC表格正文1 Char"/>
    <w:link w:val="1755"/>
    <w:qFormat/>
    <w:uiPriority w:val="0"/>
    <w:rPr>
      <w:rFonts w:ascii="宋体" w:hAnsi="宋体" w:cs="宋体"/>
      <w:sz w:val="21"/>
    </w:rPr>
  </w:style>
  <w:style w:type="paragraph" w:customStyle="1" w:styleId="1755">
    <w:name w:val="FC表格正文1"/>
    <w:basedOn w:val="374"/>
    <w:link w:val="1754"/>
    <w:qFormat/>
    <w:uiPriority w:val="0"/>
    <w:pPr>
      <w:adjustRightInd w:val="0"/>
      <w:spacing w:before="0" w:beforeLines="0" w:after="0" w:afterLines="0" w:line="276" w:lineRule="auto"/>
      <w:ind w:firstLine="482"/>
      <w:contextualSpacing w:val="0"/>
    </w:pPr>
    <w:rPr>
      <w:rFonts w:ascii="宋体" w:hAnsi="宋体" w:cs="宋体"/>
      <w:kern w:val="0"/>
      <w:sz w:val="21"/>
      <w:szCs w:val="20"/>
    </w:rPr>
  </w:style>
  <w:style w:type="paragraph" w:customStyle="1" w:styleId="1756">
    <w:name w:val="p1"/>
    <w:basedOn w:val="1"/>
    <w:qFormat/>
    <w:uiPriority w:val="0"/>
    <w:pPr>
      <w:spacing w:line="380" w:lineRule="atLeast"/>
      <w:jc w:val="left"/>
    </w:pPr>
    <w:rPr>
      <w:rFonts w:ascii="Helvetica Neue" w:hAnsi="Helvetica Neue" w:eastAsia="Helvetica Neue"/>
      <w:color w:val="000000"/>
      <w:kern w:val="0"/>
      <w:sz w:val="26"/>
      <w:szCs w:val="26"/>
    </w:rPr>
  </w:style>
  <w:style w:type="paragraph" w:customStyle="1" w:styleId="1757">
    <w:name w:val="修订4"/>
    <w:hidden/>
    <w:semiHidden/>
    <w:qFormat/>
    <w:uiPriority w:val="99"/>
    <w:rPr>
      <w:rFonts w:ascii="宋体" w:hAnsi="Calibri" w:eastAsia="宋体" w:cs="Times New Roman"/>
      <w:kern w:val="2"/>
      <w:sz w:val="24"/>
      <w:szCs w:val="24"/>
      <w:lang w:val="en-US" w:eastAsia="zh-CN" w:bidi="ar-SA"/>
    </w:rPr>
  </w:style>
  <w:style w:type="paragraph" w:customStyle="1" w:styleId="1758">
    <w:name w:val="修订5"/>
    <w:hidden/>
    <w:semiHidden/>
    <w:qFormat/>
    <w:uiPriority w:val="99"/>
    <w:rPr>
      <w:rFonts w:ascii="宋体" w:hAnsi="Calibri" w:eastAsia="宋体" w:cs="Times New Roman"/>
      <w:kern w:val="2"/>
      <w:sz w:val="24"/>
      <w:szCs w:val="24"/>
      <w:lang w:val="en-US" w:eastAsia="zh-CN" w:bidi="ar-SA"/>
    </w:rPr>
  </w:style>
  <w:style w:type="character" w:customStyle="1" w:styleId="1759">
    <w:name w:val="未处理的提及10"/>
    <w:basedOn w:val="81"/>
    <w:semiHidden/>
    <w:unhideWhenUsed/>
    <w:qFormat/>
    <w:uiPriority w:val="99"/>
    <w:rPr>
      <w:color w:val="605E5C"/>
      <w:shd w:val="clear" w:color="auto" w:fill="E1DFDD"/>
    </w:rPr>
  </w:style>
  <w:style w:type="paragraph" w:customStyle="1" w:styleId="1760">
    <w:name w:val="修订6"/>
    <w:hidden/>
    <w:unhideWhenUsed/>
    <w:qFormat/>
    <w:uiPriority w:val="99"/>
    <w:rPr>
      <w:rFonts w:ascii="宋体" w:hAnsi="Times New Roman" w:eastAsia="宋体" w:cs="Times New Roman"/>
      <w:kern w:val="2"/>
      <w:sz w:val="24"/>
      <w:szCs w:val="24"/>
      <w:lang w:val="en-US" w:eastAsia="zh-CN" w:bidi="ar-SA"/>
    </w:rPr>
  </w:style>
  <w:style w:type="paragraph" w:customStyle="1" w:styleId="1761">
    <w:name w:val="修订7"/>
    <w:hidden/>
    <w:unhideWhenUsed/>
    <w:qFormat/>
    <w:uiPriority w:val="99"/>
    <w:rPr>
      <w:rFonts w:ascii="宋体" w:hAnsi="Times New Roman" w:eastAsia="宋体" w:cs="Times New Roman"/>
      <w:kern w:val="2"/>
      <w:sz w:val="24"/>
      <w:szCs w:val="24"/>
      <w:lang w:val="en-US" w:eastAsia="zh-CN" w:bidi="ar-SA"/>
    </w:rPr>
  </w:style>
  <w:style w:type="paragraph" w:customStyle="1" w:styleId="1762">
    <w:name w:val="修订8"/>
    <w:hidden/>
    <w:unhideWhenUsed/>
    <w:qFormat/>
    <w:uiPriority w:val="99"/>
    <w:rPr>
      <w:rFonts w:ascii="宋体"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9" Type="http://schemas.openxmlformats.org/officeDocument/2006/relationships/fontTable" Target="fontTable.xml"/><Relationship Id="rId38" Type="http://schemas.openxmlformats.org/officeDocument/2006/relationships/customXml" Target="../customXml/item2.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8.png"/><Relationship Id="rId34" Type="http://schemas.openxmlformats.org/officeDocument/2006/relationships/image" Target="media/image7.png"/><Relationship Id="rId33" Type="http://schemas.openxmlformats.org/officeDocument/2006/relationships/image" Target="media/image6.pn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2111F74-DA9F-4D23-9C86-B65357A4D21C}">
  <ds:schemaRefs/>
</ds:datastoreItem>
</file>

<file path=docProps/app.xml><?xml version="1.0" encoding="utf-8"?>
<Properties xmlns="http://schemas.openxmlformats.org/officeDocument/2006/extended-properties" xmlns:vt="http://schemas.openxmlformats.org/officeDocument/2006/docPropsVTypes">
  <Template>Normal.dotm</Template>
  <Company>fjic</Company>
  <Pages>156</Pages>
  <Words>15544</Words>
  <Characters>88603</Characters>
  <Lines>738</Lines>
  <Paragraphs>207</Paragraphs>
  <TotalTime>6</TotalTime>
  <ScaleCrop>false</ScaleCrop>
  <LinksUpToDate>false</LinksUpToDate>
  <CharactersWithSpaces>103940</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2024-06-21T10:25:00Z</dcterms:created>
  <dc:creator>Administrator</dc:creator>
  <cp:lastModifiedBy>heping</cp:lastModifiedBy>
  <cp:lastPrinted>2023-11-29T03:24:00Z</cp:lastPrinted>
  <dcterms:modified xsi:type="dcterms:W3CDTF">2024-06-24T09:11:43Z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_2015_ms_pID_725343">
    <vt:lpwstr>(2)BfoFi2hrR5LOAqqlUtdloC3OdHqpqGcrTYiTbudzdaxMkt/I7/q/E3kz5FoCIiUm0tN02vTe
wehJf90QBUatjnBPNnektjraFkQbKSYao+JNQiil644dgJ/gOI9Mtl6/PaL7XG8Z1I6iGzw0
pew+itYB4RzGMYTTf7kAbKol2uTDpnKOvAs2khkyuTogfKiSa/SbX75eh8K70jL1Esk4mEkJ
lhti6m9+SQVL2FryHj</vt:lpwstr>
  </property>
  <property fmtid="{D5CDD505-2E9C-101B-9397-08002B2CF9AE}" pid="4" name="_2015_ms_pID_7253431">
    <vt:lpwstr>4yFTm/+A550++2aA4S5Q5hNdk/6n7m3BGnbwwGGMWIgquzGi0JiWs9
sTLQGpWuoeon/ZgRaRuQ/KXZFmAVdxVjp0Ugq3BeJ+6MVm7m8UuElwR9CqYqEOwRjCF8fZGI
MKf1sDZNZ9qoHtm64wxCiQGQoqbVH3nFAi60FoiPVACpJ8U+0ChIl98lQS2rKGHUBNA=</vt:lpwstr>
  </property>
  <property fmtid="{D5CDD505-2E9C-101B-9397-08002B2CF9AE}" pid="5" name="ICV">
    <vt:lpwstr>34D06CC74CA04AC49DBCDC85DC0A09B8_13</vt:lpwstr>
  </property>
</Properties>
</file>